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9"/>
        </w:tabs>
        <w:spacing w:after="0"/>
        <w:rPr>
          <w:rFonts w:hint="default" w:eastAsia="宋体"/>
          <w:b/>
          <w:iCs/>
          <w:sz w:val="24"/>
          <w:szCs w:val="18"/>
          <w:highlight w:val="yellow"/>
          <w:lang w:val="en-US" w:eastAsia="zh-CN"/>
        </w:rPr>
      </w:pPr>
      <w:r>
        <w:rPr>
          <w:rFonts w:hint="eastAsia" w:cs="Arial"/>
          <w:b/>
          <w:bCs/>
          <w:sz w:val="24"/>
          <w:szCs w:val="24"/>
        </w:rPr>
        <w:t>3GPP TSG-RAN WG3 Meeting #12</w:t>
      </w:r>
      <w:r>
        <w:rPr>
          <w:rFonts w:hint="eastAsia" w:eastAsia="宋体" w:cs="Arial"/>
          <w:b/>
          <w:bCs/>
          <w:sz w:val="24"/>
          <w:szCs w:val="24"/>
          <w:lang w:val="en-US" w:eastAsia="zh-CN"/>
        </w:rPr>
        <w:t>1</w:t>
      </w:r>
      <w:r>
        <w:rPr>
          <w:b/>
          <w:i/>
          <w:sz w:val="28"/>
        </w:rPr>
        <w:tab/>
      </w:r>
      <w:r>
        <w:rPr>
          <w:b/>
          <w:iCs/>
          <w:sz w:val="24"/>
          <w:szCs w:val="18"/>
        </w:rPr>
        <w:t xml:space="preserve">        </w:t>
      </w:r>
      <w:r>
        <w:rPr>
          <w:rFonts w:hint="default"/>
          <w:b/>
          <w:iCs/>
          <w:sz w:val="24"/>
          <w:szCs w:val="18"/>
          <w:lang w:val="en-US"/>
        </w:rPr>
        <w:t xml:space="preserve">  </w:t>
      </w:r>
      <w:r>
        <w:rPr>
          <w:rFonts w:hint="eastAsia"/>
          <w:b/>
          <w:iCs/>
          <w:sz w:val="24"/>
          <w:szCs w:val="18"/>
          <w:highlight w:val="none"/>
        </w:rPr>
        <w:t>R3-234431</w:t>
      </w:r>
    </w:p>
    <w:p>
      <w:pPr>
        <w:spacing w:after="0"/>
        <w:jc w:val="both"/>
        <w:rPr>
          <w:rFonts w:cs="Arial"/>
          <w:b/>
          <w:bCs/>
          <w:sz w:val="24"/>
          <w:szCs w:val="24"/>
        </w:rPr>
      </w:pPr>
      <w:r>
        <w:rPr>
          <w:rFonts w:hint="eastAsia" w:cs="Arial"/>
          <w:b/>
          <w:bCs/>
          <w:sz w:val="24"/>
          <w:szCs w:val="24"/>
        </w:rPr>
        <w:t>Toulouse , FR, 21–25 Aug, 2023</w:t>
      </w:r>
    </w:p>
    <w:p>
      <w:pPr>
        <w:pStyle w:val="16"/>
        <w:rPr>
          <w:rFonts w:eastAsia="宋体" w:cs="Arial"/>
          <w:bCs/>
          <w:sz w:val="24"/>
          <w:lang w:val="en-GB" w:eastAsia="zh-CN"/>
        </w:rPr>
      </w:pPr>
      <w:r>
        <w:rPr>
          <w:rFonts w:hint="eastAsia" w:eastAsia="宋体" w:cs="Arial"/>
          <w:bCs/>
          <w:sz w:val="24"/>
          <w:lang w:val="en-GB" w:eastAsia="zh-CN"/>
        </w:rPr>
        <w:t xml:space="preserve"> </w:t>
      </w:r>
    </w:p>
    <w:p>
      <w:pPr>
        <w:pStyle w:val="27"/>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eastAsia="宋体" w:cs="Arial"/>
          <w:b/>
          <w:bCs/>
          <w:sz w:val="24"/>
          <w:szCs w:val="24"/>
          <w:lang w:val="en-US" w:eastAsia="zh-CN"/>
        </w:rPr>
        <w:t>10.1</w:t>
      </w:r>
    </w:p>
    <w:p>
      <w:pPr>
        <w:tabs>
          <w:tab w:val="left" w:pos="1985"/>
        </w:tabs>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(Rapporteur)</w:t>
      </w:r>
    </w:p>
    <w:p>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bookmarkStart w:id="0" w:name="OLE_LINK9"/>
      <w:bookmarkStart w:id="1" w:name="OLE_LINK8"/>
      <w:r>
        <w:rPr>
          <w:rFonts w:cs="Arial"/>
          <w:b/>
          <w:bCs/>
          <w:color w:val="000000"/>
          <w:sz w:val="24"/>
          <w:szCs w:val="24"/>
        </w:rPr>
        <w:t>Update</w:t>
      </w:r>
      <w:r>
        <w:rPr>
          <w:rFonts w:hint="eastAsia" w:cs="Arial" w:eastAsiaTheme="minorEastAsia"/>
          <w:b/>
          <w:bCs/>
          <w:color w:val="000000"/>
          <w:sz w:val="24"/>
          <w:szCs w:val="24"/>
          <w:lang w:eastAsia="zh-CN"/>
        </w:rPr>
        <w:t xml:space="preserve"> of </w:t>
      </w:r>
      <w:r>
        <w:rPr>
          <w:rFonts w:cs="Arial"/>
          <w:b/>
          <w:bCs/>
          <w:color w:val="000000"/>
          <w:sz w:val="24"/>
          <w:szCs w:val="24"/>
        </w:rPr>
        <w:t xml:space="preserve">work plan for </w:t>
      </w:r>
      <w:bookmarkEnd w:id="0"/>
      <w:bookmarkEnd w:id="1"/>
      <w:r>
        <w:rPr>
          <w:rFonts w:hint="eastAsia" w:cs="Arial" w:eastAsiaTheme="minorEastAsia"/>
          <w:b/>
          <w:bCs/>
          <w:color w:val="000000"/>
          <w:sz w:val="24"/>
          <w:szCs w:val="24"/>
          <w:lang w:eastAsia="zh-CN"/>
        </w:rPr>
        <w:t xml:space="preserve">Further </w:t>
      </w:r>
      <w:r>
        <w:rPr>
          <w:rFonts w:eastAsia="宋体" w:cs="Arial"/>
          <w:b/>
          <w:bCs/>
          <w:color w:val="000000"/>
          <w:sz w:val="24"/>
          <w:szCs w:val="24"/>
          <w:lang w:eastAsia="zh-CN"/>
        </w:rPr>
        <w:t>Enhancement of Data Collection for SON_MDT in NR standalone and MR-DC WI</w:t>
      </w:r>
    </w:p>
    <w:p>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jc w:val="both"/>
        <w:rPr>
          <w:rFonts w:ascii="Times New Roman" w:hAnsi="Times New Roman" w:eastAsia="宋体"/>
          <w:lang w:eastAsia="zh-CN"/>
        </w:rPr>
      </w:pPr>
      <w:r>
        <w:rPr>
          <w:rFonts w:hint="eastAsia" w:ascii="Times New Roman" w:hAnsi="Times New Roman" w:eastAsia="宋体"/>
          <w:lang w:eastAsia="zh-CN"/>
        </w:rPr>
        <w:t xml:space="preserve">A Rel-18 WI </w:t>
      </w:r>
      <w:r>
        <w:rPr>
          <w:rFonts w:ascii="Times New Roman" w:hAnsi="Times New Roman" w:eastAsia="宋体"/>
          <w:lang w:eastAsia="zh-CN"/>
        </w:rPr>
        <w:t>“</w:t>
      </w:r>
      <w:r>
        <w:rPr>
          <w:rFonts w:hint="eastAsia" w:ascii="Times New Roman" w:hAnsi="Times New Roman" w:eastAsia="宋体"/>
          <w:lang w:eastAsia="zh-CN"/>
        </w:rPr>
        <w:t xml:space="preserve">Further </w:t>
      </w:r>
      <w:r>
        <w:rPr>
          <w:rFonts w:ascii="Times New Roman" w:hAnsi="Times New Roman" w:eastAsia="宋体"/>
          <w:lang w:eastAsia="zh-CN"/>
        </w:rPr>
        <w:t>Enhancement of Data Collection for SON_MDT in NR standalone and MR-DC WI”</w:t>
      </w:r>
      <w:r>
        <w:rPr>
          <w:rFonts w:hint="eastAsia" w:ascii="Times New Roman" w:hAnsi="Times New Roman" w:eastAsia="宋体"/>
          <w:lang w:eastAsia="zh-CN"/>
        </w:rPr>
        <w:t xml:space="preserve"> was first approved at RAN #94 meeting and updated at RAN #96 meeting in [1]. </w:t>
      </w:r>
    </w:p>
    <w:p>
      <w:pPr>
        <w:widowControl w:val="0"/>
        <w:jc w:val="both"/>
        <w:rPr>
          <w:rFonts w:ascii="Times New Roman" w:hAnsi="Times New Roman" w:eastAsia="宋体"/>
          <w:lang w:eastAsia="zh-CN"/>
        </w:rPr>
      </w:pPr>
      <w:r>
        <w:rPr>
          <w:rFonts w:hint="eastAsia" w:ascii="Times New Roman" w:hAnsi="Times New Roman" w:eastAsia="宋体"/>
          <w:lang w:eastAsia="zh-CN"/>
        </w:rPr>
        <w:t xml:space="preserve">In this </w:t>
      </w:r>
      <w:r>
        <w:rPr>
          <w:rFonts w:ascii="Times New Roman" w:hAnsi="Times New Roman" w:eastAsia="宋体"/>
          <w:lang w:eastAsia="zh-CN"/>
        </w:rPr>
        <w:t>contribution</w:t>
      </w:r>
      <w:r>
        <w:rPr>
          <w:rFonts w:hint="eastAsia" w:ascii="Times New Roman" w:hAnsi="Times New Roman" w:eastAsia="宋体"/>
          <w:lang w:eastAsia="zh-CN"/>
        </w:rPr>
        <w:t>, we</w:t>
      </w:r>
      <w:r>
        <w:rPr>
          <w:rFonts w:ascii="Times New Roman" w:hAnsi="Times New Roman" w:eastAsia="宋体"/>
          <w:lang w:eastAsia="zh-CN"/>
        </w:rPr>
        <w:t xml:space="preserve"> </w:t>
      </w:r>
      <w:r>
        <w:rPr>
          <w:rFonts w:hint="eastAsia" w:ascii="Times New Roman" w:hAnsi="Times New Roman" w:eastAsia="宋体"/>
          <w:lang w:eastAsia="zh-CN"/>
        </w:rPr>
        <w:t>provide</w:t>
      </w:r>
      <w:r>
        <w:rPr>
          <w:rFonts w:ascii="Times New Roman" w:hAnsi="Times New Roman" w:eastAsia="宋体"/>
          <w:lang w:eastAsia="zh-CN"/>
        </w:rPr>
        <w:t xml:space="preserve"> an</w:t>
      </w:r>
      <w:r>
        <w:rPr>
          <w:rFonts w:hint="eastAsia" w:ascii="Times New Roman" w:hAnsi="Times New Roman" w:eastAsiaTheme="minorEastAsia"/>
          <w:lang w:eastAsia="zh-CN"/>
        </w:rPr>
        <w:t xml:space="preserve"> updated</w:t>
      </w:r>
      <w:r>
        <w:rPr>
          <w:rFonts w:hint="eastAsia" w:ascii="Times New Roman" w:hAnsi="Times New Roman" w:eastAsia="宋体"/>
          <w:lang w:eastAsia="zh-CN"/>
        </w:rPr>
        <w:t xml:space="preserve"> work plan for this work item</w:t>
      </w:r>
      <w:r>
        <w:rPr>
          <w:rFonts w:hint="eastAsia" w:ascii="Times New Roman" w:hAnsi="Times New Roman" w:eastAsiaTheme="minorEastAsia"/>
          <w:lang w:eastAsia="zh-CN"/>
        </w:rPr>
        <w:t xml:space="preserve">, focusing on </w:t>
      </w:r>
      <w:r>
        <w:rPr>
          <w:rFonts w:hint="eastAsia" w:ascii="Times New Roman" w:hAnsi="Times New Roman" w:eastAsia="宋体"/>
          <w:lang w:eastAsia="zh-CN"/>
        </w:rPr>
        <w:t>RAN3</w:t>
      </w:r>
      <w:r>
        <w:rPr>
          <w:rFonts w:hint="eastAsia" w:ascii="Times New Roman" w:hAnsi="Times New Roman" w:eastAsiaTheme="minorEastAsia"/>
          <w:lang w:eastAsia="zh-CN"/>
        </w:rPr>
        <w:t xml:space="preserve"> part</w:t>
      </w:r>
      <w:r>
        <w:rPr>
          <w:rFonts w:hint="eastAsia" w:ascii="Times New Roman" w:hAnsi="Times New Roman" w:eastAsia="宋体"/>
          <w:lang w:eastAsia="zh-CN"/>
        </w:rPr>
        <w:t>.</w:t>
      </w:r>
    </w:p>
    <w:p>
      <w:pPr>
        <w:pStyle w:val="2"/>
        <w:ind w:left="567" w:hanging="567"/>
        <w:rPr>
          <w:rFonts w:eastAsia="宋体" w:cs="Arial"/>
          <w:sz w:val="32"/>
          <w:szCs w:val="32"/>
          <w:lang w:eastAsia="zh-CN"/>
        </w:rPr>
      </w:pPr>
      <w:r>
        <w:rPr>
          <w:rFonts w:hint="eastAsia" w:eastAsia="宋体" w:cs="Arial"/>
          <w:sz w:val="32"/>
          <w:szCs w:val="32"/>
          <w:lang w:eastAsia="zh-CN"/>
        </w:rPr>
        <w:t>2</w:t>
      </w:r>
      <w:bookmarkStart w:id="2" w:name="OLE_LINK5"/>
      <w:r>
        <w:rPr>
          <w:rFonts w:hint="eastAsia" w:eastAsia="宋体" w:cs="Arial"/>
          <w:sz w:val="32"/>
          <w:szCs w:val="32"/>
          <w:lang w:eastAsia="zh-CN"/>
        </w:rPr>
        <w:tab/>
      </w:r>
      <w:bookmarkEnd w:id="2"/>
      <w:r>
        <w:rPr>
          <w:rFonts w:hint="eastAsia" w:eastAsia="宋体" w:cs="Arial"/>
          <w:sz w:val="32"/>
          <w:szCs w:val="32"/>
          <w:lang w:eastAsia="zh-CN"/>
        </w:rPr>
        <w:t>Background</w:t>
      </w:r>
    </w:p>
    <w:p>
      <w:pPr>
        <w:pStyle w:val="3"/>
        <w:rPr>
          <w:lang w:eastAsia="zh-CN"/>
        </w:rPr>
      </w:pPr>
      <w:r>
        <w:rPr>
          <w:lang w:val="en-US" w:eastAsia="zh-CN"/>
        </w:rPr>
        <w:t xml:space="preserve">2.1 </w:t>
      </w:r>
      <w:r>
        <w:rPr>
          <w:rFonts w:hint="eastAsia"/>
          <w:lang w:eastAsia="zh-CN"/>
        </w:rPr>
        <w:t>Scope and objectives</w:t>
      </w:r>
    </w:p>
    <w:p>
      <w:pPr>
        <w:spacing w:before="120" w:line="280" w:lineRule="atLeast"/>
        <w:rPr>
          <w:rFonts w:ascii="Times New Roman" w:hAnsi="Times New Roman" w:eastAsia="宋体"/>
        </w:rPr>
      </w:pPr>
      <w:bookmarkStart w:id="3" w:name="OLE_LINK1"/>
      <w:bookmarkStart w:id="4" w:name="OLE_LINK2"/>
      <w:r>
        <w:rPr>
          <w:rFonts w:ascii="Times New Roman" w:hAnsi="Times New Roman" w:eastAsia="宋体"/>
        </w:rPr>
        <w:t xml:space="preserve">The objective of this work item is to specify </w:t>
      </w:r>
      <w:r>
        <w:rPr>
          <w:rFonts w:hint="eastAsia" w:ascii="Times New Roman" w:hAnsi="Times New Roman" w:eastAsia="宋体"/>
        </w:rPr>
        <w:t xml:space="preserve">data collection enhancement in NR </w:t>
      </w:r>
      <w:r>
        <w:rPr>
          <w:rFonts w:ascii="Times New Roman" w:hAnsi="Times New Roman" w:eastAsia="宋体"/>
        </w:rPr>
        <w:t>for SON/MDT purpose</w:t>
      </w:r>
      <w:r>
        <w:rPr>
          <w:rFonts w:hint="eastAsia" w:ascii="Times New Roman" w:hAnsi="Times New Roman" w:eastAsia="宋体"/>
        </w:rPr>
        <w:t xml:space="preserve">. </w:t>
      </w:r>
      <w:r>
        <w:rPr>
          <w:rFonts w:ascii="Times New Roman" w:hAnsi="Times New Roman" w:eastAsia="宋体"/>
        </w:rPr>
        <w:t>The specific objectives of this work item are [RAN3, RAN2]:</w:t>
      </w:r>
    </w:p>
    <w:p>
      <w:pPr>
        <w:spacing w:before="120" w:line="280" w:lineRule="atLeast"/>
        <w:ind w:left="400" w:leftChars="200"/>
        <w:rPr>
          <w:rFonts w:ascii="Times New Roman" w:hAnsi="Times New Roman" w:eastAsia="宋体"/>
          <w:i/>
        </w:rPr>
      </w:pPr>
      <w:r>
        <w:rPr>
          <w:rFonts w:ascii="Times New Roman" w:hAnsi="Times New Roman" w:eastAsia="宋体"/>
          <w:i/>
        </w:rPr>
        <w:t>- Support of data collection for SON features, including</w:t>
      </w:r>
      <w:r>
        <w:rPr>
          <w:rFonts w:hint="eastAsia" w:ascii="Times New Roman" w:hAnsi="Times New Roman" w:eastAsia="宋体"/>
          <w:i/>
        </w:rPr>
        <w:t xml:space="preserve">, </w:t>
      </w:r>
      <w:r>
        <w:rPr>
          <w:rFonts w:ascii="Times New Roman" w:hAnsi="Times New Roman" w:eastAsia="宋体"/>
          <w:i/>
        </w:rPr>
        <w:t>MRO for</w:t>
      </w:r>
      <w:r>
        <w:rPr>
          <w:rFonts w:hint="eastAsia" w:ascii="Times New Roman" w:hAnsi="Times New Roman" w:eastAsia="宋体"/>
          <w:i/>
        </w:rPr>
        <w:t xml:space="preserve"> </w:t>
      </w:r>
      <w:r>
        <w:rPr>
          <w:rFonts w:ascii="Times New Roman" w:hAnsi="Times New Roman" w:eastAsia="宋体"/>
          <w:i/>
        </w:rPr>
        <w:t>MR-DC SCG failure scenario</w:t>
      </w:r>
      <w:r>
        <w:rPr>
          <w:rFonts w:hint="eastAsia" w:ascii="Times New Roman" w:hAnsi="Times New Roman" w:eastAsia="宋体"/>
          <w:i/>
        </w:rPr>
        <w:t xml:space="preserve">, and </w:t>
      </w:r>
      <w:r>
        <w:rPr>
          <w:rFonts w:ascii="Times New Roman" w:hAnsi="Times New Roman" w:eastAsia="宋体"/>
          <w:i/>
        </w:rPr>
        <w:t>MRO enhancement for inter-system handover voice fallback</w:t>
      </w:r>
      <w:r>
        <w:rPr>
          <w:rFonts w:hint="eastAsia" w:ascii="Times New Roman" w:hAnsi="Times New Roman" w:eastAsia="宋体"/>
          <w:i/>
        </w:rPr>
        <w:t>,</w:t>
      </w:r>
    </w:p>
    <w:p>
      <w:pPr>
        <w:pStyle w:val="61"/>
        <w:widowControl w:val="0"/>
        <w:numPr>
          <w:ilvl w:val="0"/>
          <w:numId w:val="3"/>
        </w:numPr>
        <w:spacing w:before="120" w:line="280" w:lineRule="atLeast"/>
        <w:ind w:left="818" w:leftChars="409" w:firstLineChars="0"/>
        <w:contextualSpacing/>
        <w:jc w:val="both"/>
        <w:rPr>
          <w:rFonts w:ascii="Times New Roman" w:hAnsi="Times New Roman"/>
          <w:i/>
          <w:sz w:val="20"/>
          <w:szCs w:val="20"/>
        </w:rPr>
      </w:pPr>
      <w:r>
        <w:rPr>
          <w:rFonts w:ascii="Times New Roman" w:hAnsi="Times New Roman"/>
          <w:i/>
          <w:sz w:val="20"/>
          <w:szCs w:val="20"/>
        </w:rPr>
        <w:t>Specification of the UE reporting necessary to enhance the mobility parameter tuning [RAN2]</w:t>
      </w:r>
    </w:p>
    <w:p>
      <w:pPr>
        <w:pStyle w:val="61"/>
        <w:widowControl w:val="0"/>
        <w:numPr>
          <w:ilvl w:val="0"/>
          <w:numId w:val="3"/>
        </w:numPr>
        <w:spacing w:before="120" w:line="280" w:lineRule="atLeast"/>
        <w:ind w:left="818" w:leftChars="409" w:firstLineChars="0"/>
        <w:contextualSpacing/>
        <w:jc w:val="both"/>
        <w:rPr>
          <w:rFonts w:ascii="Times New Roman" w:hAnsi="Times New Roman"/>
          <w:i/>
          <w:sz w:val="20"/>
          <w:szCs w:val="20"/>
        </w:rPr>
      </w:pPr>
      <w:r>
        <w:rPr>
          <w:rFonts w:ascii="Times New Roman" w:hAnsi="Times New Roman"/>
          <w:i/>
          <w:sz w:val="20"/>
          <w:szCs w:val="20"/>
        </w:rPr>
        <w:t xml:space="preserve">Specification of the inter-node information exchange, including possible enhancements to interfaces    </w:t>
      </w:r>
      <w:r>
        <w:rPr>
          <w:rFonts w:ascii="Times New Roman" w:hAnsi="Times New Roman"/>
          <w:i/>
          <w:sz w:val="20"/>
          <w:szCs w:val="20"/>
        </w:rPr>
        <w:br w:type="textWrapping"/>
      </w:r>
      <w:r>
        <w:rPr>
          <w:rFonts w:ascii="Times New Roman" w:hAnsi="Times New Roman"/>
          <w:i/>
          <w:sz w:val="20"/>
          <w:szCs w:val="20"/>
        </w:rPr>
        <w:t>[RAN3]</w:t>
      </w:r>
    </w:p>
    <w:p>
      <w:pPr>
        <w:spacing w:before="120" w:line="280" w:lineRule="atLeast"/>
        <w:ind w:left="400" w:leftChars="200"/>
        <w:rPr>
          <w:rFonts w:ascii="Times New Roman" w:hAnsi="Times New Roman" w:eastAsia="宋体"/>
          <w:i/>
        </w:rPr>
      </w:pPr>
      <w:r>
        <w:rPr>
          <w:rFonts w:hint="eastAsia" w:ascii="Times New Roman" w:hAnsi="Times New Roman" w:eastAsia="宋体"/>
          <w:i/>
        </w:rPr>
        <w:t xml:space="preserve">- </w:t>
      </w:r>
      <w:r>
        <w:rPr>
          <w:rFonts w:ascii="Times New Roman" w:hAnsi="Times New Roman" w:eastAsia="宋体"/>
          <w:i/>
        </w:rPr>
        <w:t>Support of SON/MDT enhancements for [RAN3, RAN2]:</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 xml:space="preserve">MR-DC </w:t>
      </w:r>
      <w:r>
        <w:rPr>
          <w:rFonts w:ascii="Times New Roman" w:hAnsi="Times New Roman"/>
          <w:i/>
          <w:sz w:val="20"/>
          <w:szCs w:val="20"/>
        </w:rPr>
        <w:t>CPAC</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uccessful PScell change report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Successful Handover Report (e.g. inter-RAT)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 xml:space="preserve">NPN </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RACH report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fast MCG recovery</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NR-U (MRO and UL MLB)</w:t>
      </w:r>
    </w:p>
    <w:p>
      <w:pPr>
        <w:spacing w:before="120" w:line="280" w:lineRule="atLeast"/>
        <w:ind w:left="400" w:leftChars="200"/>
        <w:rPr>
          <w:rFonts w:ascii="Times New Roman" w:hAnsi="Times New Roman" w:eastAsia="宋体"/>
          <w:i/>
        </w:rPr>
      </w:pPr>
      <w:r>
        <w:rPr>
          <w:rFonts w:ascii="Times New Roman" w:hAnsi="Times New Roman" w:eastAsia="宋体"/>
          <w:i/>
        </w:rPr>
        <w:t>- Support of signaling based logged MDT override protection to address the scenario where the signaling based MDT is configured in E-UTRAN when [RAN2, RAN3]:</w:t>
      </w:r>
    </w:p>
    <w:p>
      <w:pPr>
        <w:pStyle w:val="61"/>
        <w:widowControl w:val="0"/>
        <w:numPr>
          <w:ilvl w:val="0"/>
          <w:numId w:val="5"/>
        </w:numPr>
        <w:spacing w:before="120" w:line="280" w:lineRule="atLeast"/>
        <w:ind w:left="1480" w:leftChars="740" w:firstLineChars="0"/>
        <w:contextualSpacing/>
        <w:jc w:val="both"/>
        <w:rPr>
          <w:rFonts w:ascii="Times New Roman" w:hAnsi="Times New Roman"/>
          <w:i/>
          <w:sz w:val="20"/>
          <w:szCs w:val="20"/>
        </w:rPr>
      </w:pPr>
      <w:r>
        <w:rPr>
          <w:rFonts w:ascii="Times New Roman" w:hAnsi="Times New Roman"/>
          <w:i/>
          <w:sz w:val="20"/>
          <w:szCs w:val="20"/>
        </w:rPr>
        <w:t xml:space="preserve">UE reselects to NR while logged measurements are collected </w:t>
      </w:r>
    </w:p>
    <w:p>
      <w:pPr>
        <w:pStyle w:val="61"/>
        <w:widowControl w:val="0"/>
        <w:numPr>
          <w:ilvl w:val="0"/>
          <w:numId w:val="5"/>
        </w:numPr>
        <w:spacing w:before="120" w:line="280" w:lineRule="atLeast"/>
        <w:ind w:left="1480" w:leftChars="740" w:firstLineChars="0"/>
        <w:contextualSpacing/>
        <w:jc w:val="both"/>
        <w:rPr>
          <w:rFonts w:ascii="Times New Roman" w:hAnsi="Times New Roman"/>
          <w:i/>
          <w:sz w:val="20"/>
          <w:szCs w:val="20"/>
        </w:rPr>
      </w:pPr>
      <w:r>
        <w:rPr>
          <w:rFonts w:ascii="Times New Roman" w:hAnsi="Times New Roman"/>
          <w:i/>
          <w:sz w:val="20"/>
          <w:szCs w:val="20"/>
        </w:rPr>
        <w:t>UE reselects to NR after logged measurements are collected and before uploading the logged MDT report.</w:t>
      </w:r>
    </w:p>
    <w:p>
      <w:pPr>
        <w:spacing w:before="120" w:line="280" w:lineRule="atLeast"/>
        <w:rPr>
          <w:rFonts w:ascii="Times New Roman" w:hAnsi="Times New Roman" w:eastAsia="宋体"/>
          <w:i/>
        </w:rPr>
      </w:pPr>
      <w:r>
        <w:rPr>
          <w:rFonts w:ascii="Times New Roman" w:hAnsi="Times New Roman" w:eastAsia="宋体"/>
          <w:i/>
        </w:rPr>
        <w:t>If needed, co-operate with RAN1, SA2, SA5, CT4. </w:t>
      </w:r>
    </w:p>
    <w:p>
      <w:pPr>
        <w:pStyle w:val="3"/>
        <w:rPr>
          <w:lang w:eastAsia="zh-CN"/>
        </w:rPr>
      </w:pPr>
      <w:r>
        <w:rPr>
          <w:rFonts w:hint="eastAsia"/>
          <w:lang w:eastAsia="zh-CN"/>
        </w:rPr>
        <w:t>2.2</w:t>
      </w:r>
      <w:r>
        <w:rPr>
          <w:lang w:val="en-US" w:eastAsia="zh-CN"/>
        </w:rPr>
        <w:t xml:space="preserve"> </w:t>
      </w:r>
      <w:r>
        <w:rPr>
          <w:rFonts w:hint="eastAsia"/>
          <w:lang w:eastAsia="zh-CN"/>
        </w:rPr>
        <w:t>Time budget</w:t>
      </w:r>
    </w:p>
    <w:bookmarkEnd w:id="3"/>
    <w:bookmarkEnd w:id="4"/>
    <w:p>
      <w:pPr>
        <w:spacing w:after="240"/>
        <w:jc w:val="both"/>
        <w:rPr>
          <w:rFonts w:ascii="Times New Roman" w:hAnsi="Times New Roman" w:eastAsia="宋体"/>
          <w:lang w:eastAsia="zh-CN"/>
        </w:rPr>
      </w:pPr>
      <w:r>
        <w:rPr>
          <w:rFonts w:hint="eastAsia" w:ascii="Times New Roman" w:hAnsi="Times New Roman" w:eastAsia="宋体"/>
          <w:lang w:eastAsia="zh-CN"/>
        </w:rPr>
        <w:t xml:space="preserve">RAN3 and RAN2 are the primary and secondary responsible groups of the WI respectively. The time budget that was </w:t>
      </w:r>
      <w:r>
        <w:rPr>
          <w:rFonts w:ascii="Times New Roman" w:hAnsi="Times New Roman" w:eastAsia="宋体"/>
          <w:lang w:eastAsia="zh-CN"/>
        </w:rPr>
        <w:t>a</w:t>
      </w:r>
      <w:r>
        <w:rPr>
          <w:rFonts w:hint="eastAsia" w:ascii="Times New Roman" w:hAnsi="Times New Roman" w:eastAsia="宋体"/>
          <w:lang w:eastAsia="zh-CN"/>
        </w:rPr>
        <w:t>pproved at RAN#</w:t>
      </w:r>
      <w:r>
        <w:rPr>
          <w:rFonts w:hint="eastAsia" w:ascii="Times New Roman" w:hAnsi="Times New Roman" w:eastAsiaTheme="minorEastAsia"/>
          <w:lang w:eastAsia="zh-CN"/>
        </w:rPr>
        <w:t>96</w:t>
      </w:r>
      <w:r>
        <w:rPr>
          <w:rFonts w:hint="eastAsia" w:ascii="Times New Roman" w:hAnsi="Times New Roman" w:eastAsia="宋体"/>
          <w:lang w:eastAsia="zh-CN"/>
        </w:rPr>
        <w:t xml:space="preserve"> meeting in [2] was shown as below, </w:t>
      </w:r>
    </w:p>
    <w:p>
      <w:pPr>
        <w:jc w:val="center"/>
        <w:rPr>
          <w:rFonts w:ascii="Times New Roman" w:hAnsi="Times New Roman" w:eastAsia="宋体"/>
          <w:lang w:eastAsia="zh-CN"/>
        </w:rPr>
      </w:pPr>
      <w:r>
        <w:rPr>
          <w:rFonts w:hint="eastAsia" w:ascii="Times New Roman" w:hAnsi="Times New Roman" w:eastAsia="宋体"/>
          <w:lang w:eastAsia="zh-CN"/>
        </w:rPr>
        <w:t>Table 1: Time budget allocation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850"/>
        <w:gridCol w:w="851"/>
        <w:gridCol w:w="1622"/>
        <w:gridCol w:w="1083"/>
        <w:gridCol w:w="1083"/>
        <w:gridCol w:w="912"/>
        <w:gridCol w:w="850"/>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1701"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2</w:t>
            </w:r>
            <w:r>
              <w:rPr>
                <w:rFonts w:hint="eastAsia" w:ascii="Times New Roman" w:hAnsi="Times New Roman" w:eastAsia="宋体"/>
                <w:lang w:eastAsia="zh-CN"/>
              </w:rPr>
              <w:t xml:space="preserve"> Q</w:t>
            </w:r>
            <w:r>
              <w:rPr>
                <w:rFonts w:hint="eastAsia" w:ascii="Times New Roman" w:hAnsi="Times New Roman" w:eastAsiaTheme="minorEastAsia"/>
                <w:lang w:eastAsia="zh-CN"/>
              </w:rPr>
              <w:t>3</w:t>
            </w:r>
          </w:p>
        </w:tc>
        <w:tc>
          <w:tcPr>
            <w:tcW w:w="162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 xml:space="preserve">September </w:t>
            </w:r>
            <w:r>
              <w:rPr>
                <w:rFonts w:hint="eastAsia" w:ascii="Times New Roman" w:hAnsi="Times New Roman" w:eastAsia="宋体"/>
                <w:lang w:eastAsia="zh-CN"/>
              </w:rPr>
              <w:t>202</w:t>
            </w:r>
            <w:r>
              <w:rPr>
                <w:rFonts w:hint="eastAsia" w:ascii="Times New Roman" w:hAnsi="Times New Roman" w:eastAsiaTheme="minorEastAsia"/>
                <w:lang w:eastAsia="zh-CN"/>
              </w:rPr>
              <w:t>2</w:t>
            </w:r>
          </w:p>
        </w:tc>
        <w:tc>
          <w:tcPr>
            <w:tcW w:w="3928" w:type="dxa"/>
            <w:gridSpan w:val="4"/>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2</w:t>
            </w:r>
            <w:r>
              <w:rPr>
                <w:rFonts w:hint="eastAsia" w:ascii="Times New Roman" w:hAnsi="Times New Roman" w:eastAsia="宋体"/>
                <w:lang w:eastAsia="zh-CN"/>
              </w:rPr>
              <w:t xml:space="preserve"> Q</w:t>
            </w:r>
            <w:r>
              <w:rPr>
                <w:rFonts w:hint="eastAsia" w:ascii="Times New Roman" w:hAnsi="Times New Roman" w:eastAsiaTheme="minorEastAsia"/>
                <w:lang w:eastAsia="zh-CN"/>
              </w:rPr>
              <w:t>4</w:t>
            </w:r>
          </w:p>
        </w:tc>
        <w:tc>
          <w:tcPr>
            <w:tcW w:w="2000" w:type="dxa"/>
          </w:tcPr>
          <w:p>
            <w:pPr>
              <w:jc w:val="center"/>
              <w:rPr>
                <w:rFonts w:ascii="Times New Roman" w:hAnsi="Times New Roman" w:eastAsia="宋体"/>
                <w:lang w:eastAsia="zh-CN"/>
              </w:rPr>
            </w:pPr>
            <w:r>
              <w:rPr>
                <w:rFonts w:hint="eastAsia" w:ascii="Times New Roman" w:hAnsi="Times New Roman" w:eastAsiaTheme="minorEastAsia"/>
                <w:lang w:eastAsia="zh-CN"/>
              </w:rPr>
              <w:t>December</w:t>
            </w:r>
            <w:r>
              <w:rPr>
                <w:rFonts w:ascii="Times New Roman" w:hAnsi="Times New Roman" w:eastAsia="宋体"/>
                <w:lang w:eastAsia="zh-CN"/>
              </w:rPr>
              <w:t xml:space="preserve"> </w:t>
            </w:r>
            <w:r>
              <w:rPr>
                <w:rFonts w:hint="eastAsia" w:ascii="Times New Roman" w:hAnsi="Times New Roman" w:eastAsia="宋体"/>
                <w:lang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85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7</w:t>
            </w:r>
          </w:p>
        </w:tc>
        <w:tc>
          <w:tcPr>
            <w:tcW w:w="851"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w:t>
            </w:r>
          </w:p>
        </w:tc>
        <w:tc>
          <w:tcPr>
            <w:tcW w:w="1622"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7</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7bis</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9bis</w:t>
            </w:r>
          </w:p>
        </w:tc>
        <w:tc>
          <w:tcPr>
            <w:tcW w:w="912"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8</w:t>
            </w:r>
          </w:p>
        </w:tc>
        <w:tc>
          <w:tcPr>
            <w:tcW w:w="85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20</w:t>
            </w:r>
          </w:p>
        </w:tc>
        <w:tc>
          <w:tcPr>
            <w:tcW w:w="2000"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85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851"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622" w:type="dxa"/>
            <w:vMerge w:val="continue"/>
          </w:tcPr>
          <w:p>
            <w:pPr>
              <w:jc w:val="center"/>
              <w:rPr>
                <w:rFonts w:ascii="Times New Roman" w:hAnsi="Times New Roman" w:eastAsia="宋体"/>
                <w:lang w:eastAsia="zh-CN"/>
              </w:rPr>
            </w:pPr>
          </w:p>
        </w:tc>
        <w:tc>
          <w:tcPr>
            <w:tcW w:w="1083"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08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91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850"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2000"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135"/>
        <w:gridCol w:w="1134"/>
        <w:gridCol w:w="1457"/>
        <w:gridCol w:w="1094"/>
        <w:gridCol w:w="1134"/>
        <w:gridCol w:w="851"/>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2269"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1</w:t>
            </w:r>
          </w:p>
        </w:tc>
        <w:tc>
          <w:tcPr>
            <w:tcW w:w="1457"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March 2023</w:t>
            </w:r>
          </w:p>
        </w:tc>
        <w:tc>
          <w:tcPr>
            <w:tcW w:w="4071" w:type="dxa"/>
            <w:gridSpan w:val="4"/>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2</w:t>
            </w:r>
          </w:p>
        </w:tc>
        <w:tc>
          <w:tcPr>
            <w:tcW w:w="113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 xml:space="preserve">June </w:t>
            </w:r>
            <w:r>
              <w:rPr>
                <w:rFonts w:hint="eastAsia" w:ascii="Times New Roman" w:hAnsi="Times New Roman" w:eastAsia="宋体"/>
                <w:lang w:eastAsia="zh-CN"/>
              </w:rPr>
              <w:t>202</w:t>
            </w:r>
            <w:r>
              <w:rPr>
                <w:rFonts w:hint="eastAsia" w:ascii="Times New Roman" w:hAnsi="Times New Roman"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1135" w:type="dxa"/>
          </w:tcPr>
          <w:p>
            <w:pPr>
              <w:jc w:val="center"/>
              <w:rPr>
                <w:rFonts w:ascii="Times New Roman" w:hAnsi="Times New Roman" w:eastAsiaTheme="minorEastAsia"/>
                <w:lang w:eastAsia="zh-CN"/>
              </w:rPr>
            </w:pPr>
            <w:r>
              <w:rPr>
                <w:rFonts w:hint="eastAsia" w:ascii="Times New Roman" w:hAnsi="Times New Roman" w:eastAsia="宋体"/>
                <w:lang w:eastAsia="zh-CN"/>
              </w:rPr>
              <w:t>R3#11</w:t>
            </w:r>
            <w:r>
              <w:rPr>
                <w:rFonts w:hint="eastAsia" w:ascii="Times New Roman" w:hAnsi="Times New Roman" w:eastAsiaTheme="minorEastAsia"/>
                <w:lang w:eastAsia="zh-CN"/>
              </w:rPr>
              <w:t>9</w:t>
            </w:r>
          </w:p>
        </w:tc>
        <w:tc>
          <w:tcPr>
            <w:tcW w:w="1134" w:type="dxa"/>
          </w:tcPr>
          <w:p>
            <w:pPr>
              <w:jc w:val="center"/>
              <w:rPr>
                <w:rFonts w:ascii="Times New Roman" w:hAnsi="Times New Roman" w:eastAsiaTheme="minorEastAsia"/>
                <w:lang w:eastAsia="zh-CN"/>
              </w:rPr>
            </w:pPr>
            <w:r>
              <w:rPr>
                <w:rFonts w:hint="eastAsia" w:ascii="Times New Roman" w:hAnsi="Times New Roman" w:eastAsia="宋体"/>
                <w:lang w:eastAsia="zh-CN"/>
              </w:rPr>
              <w:t>R2#1</w:t>
            </w:r>
            <w:r>
              <w:rPr>
                <w:rFonts w:hint="eastAsia" w:ascii="Times New Roman" w:hAnsi="Times New Roman" w:eastAsiaTheme="minorEastAsia"/>
                <w:lang w:eastAsia="zh-CN"/>
              </w:rPr>
              <w:t>21</w:t>
            </w:r>
          </w:p>
        </w:tc>
        <w:tc>
          <w:tcPr>
            <w:tcW w:w="1457"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9</w:t>
            </w:r>
          </w:p>
        </w:tc>
        <w:tc>
          <w:tcPr>
            <w:tcW w:w="1094"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9bis</w:t>
            </w:r>
          </w:p>
        </w:tc>
        <w:tc>
          <w:tcPr>
            <w:tcW w:w="1134"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21bis</w:t>
            </w:r>
          </w:p>
        </w:tc>
        <w:tc>
          <w:tcPr>
            <w:tcW w:w="851"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20</w:t>
            </w:r>
          </w:p>
        </w:tc>
        <w:tc>
          <w:tcPr>
            <w:tcW w:w="992"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22</w:t>
            </w:r>
          </w:p>
        </w:tc>
        <w:tc>
          <w:tcPr>
            <w:tcW w:w="1134"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1135"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457" w:type="dxa"/>
            <w:vMerge w:val="continue"/>
          </w:tcPr>
          <w:p>
            <w:pPr>
              <w:jc w:val="center"/>
              <w:rPr>
                <w:rFonts w:ascii="Times New Roman" w:hAnsi="Times New Roman" w:eastAsia="宋体"/>
                <w:lang w:eastAsia="zh-CN"/>
              </w:rPr>
            </w:pPr>
          </w:p>
        </w:tc>
        <w:tc>
          <w:tcPr>
            <w:tcW w:w="109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0.5</w:t>
            </w:r>
          </w:p>
        </w:tc>
        <w:tc>
          <w:tcPr>
            <w:tcW w:w="851"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9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972"/>
        <w:gridCol w:w="973"/>
        <w:gridCol w:w="1560"/>
        <w:gridCol w:w="1083"/>
        <w:gridCol w:w="1083"/>
        <w:gridCol w:w="980"/>
        <w:gridCol w:w="1060"/>
        <w:gridCol w:w="1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1945"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3</w:t>
            </w:r>
          </w:p>
        </w:tc>
        <w:tc>
          <w:tcPr>
            <w:tcW w:w="156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September</w:t>
            </w:r>
            <w:r>
              <w:rPr>
                <w:rFonts w:hint="eastAsia" w:ascii="Times New Roman" w:hAnsi="Times New Roman" w:eastAsia="宋体"/>
                <w:lang w:eastAsia="zh-CN"/>
              </w:rPr>
              <w:t xml:space="preserve"> 202</w:t>
            </w:r>
            <w:r>
              <w:rPr>
                <w:rFonts w:hint="eastAsia" w:ascii="Times New Roman" w:hAnsi="Times New Roman" w:eastAsiaTheme="minorEastAsia"/>
                <w:lang w:eastAsia="zh-CN"/>
              </w:rPr>
              <w:t>3</w:t>
            </w:r>
          </w:p>
        </w:tc>
        <w:tc>
          <w:tcPr>
            <w:tcW w:w="3146" w:type="dxa"/>
            <w:gridSpan w:val="3"/>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4</w:t>
            </w:r>
          </w:p>
        </w:tc>
        <w:tc>
          <w:tcPr>
            <w:tcW w:w="1060" w:type="dxa"/>
          </w:tcPr>
          <w:p>
            <w:pPr>
              <w:jc w:val="center"/>
              <w:rPr>
                <w:rFonts w:ascii="Times New Roman" w:hAnsi="Times New Roman" w:eastAsia="宋体"/>
                <w:lang w:eastAsia="zh-CN"/>
              </w:rPr>
            </w:pPr>
          </w:p>
        </w:tc>
        <w:tc>
          <w:tcPr>
            <w:tcW w:w="1517"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December</w:t>
            </w:r>
            <w:r>
              <w:rPr>
                <w:rFonts w:hint="eastAsia" w:ascii="Times New Roman" w:hAnsi="Times New Roman" w:eastAsia="宋体"/>
                <w:lang w:eastAsia="zh-CN"/>
              </w:rPr>
              <w:t xml:space="preserve"> 202</w:t>
            </w:r>
            <w:r>
              <w:rPr>
                <w:rFonts w:hint="eastAsia" w:ascii="Times New Roman" w:hAnsi="Times New Roman"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972" w:type="dxa"/>
          </w:tcPr>
          <w:p>
            <w:pPr>
              <w:jc w:val="center"/>
              <w:rPr>
                <w:rFonts w:ascii="Times New Roman" w:hAnsi="Times New Roman" w:eastAsiaTheme="minorEastAsia"/>
                <w:lang w:eastAsia="zh-CN"/>
              </w:rPr>
            </w:pPr>
            <w:r>
              <w:rPr>
                <w:rFonts w:hint="eastAsia" w:ascii="Times New Roman" w:hAnsi="Times New Roman" w:eastAsia="宋体"/>
                <w:lang w:eastAsia="zh-CN"/>
              </w:rPr>
              <w:t>R3#1</w:t>
            </w:r>
            <w:r>
              <w:rPr>
                <w:rFonts w:hint="eastAsia" w:ascii="Times New Roman" w:hAnsi="Times New Roman" w:eastAsiaTheme="minorEastAsia"/>
                <w:lang w:eastAsia="zh-CN"/>
              </w:rPr>
              <w:t>21</w:t>
            </w:r>
          </w:p>
        </w:tc>
        <w:tc>
          <w:tcPr>
            <w:tcW w:w="973" w:type="dxa"/>
          </w:tcPr>
          <w:p>
            <w:pPr>
              <w:jc w:val="center"/>
              <w:rPr>
                <w:rFonts w:ascii="Times New Roman" w:hAnsi="Times New Roman" w:eastAsiaTheme="minorEastAsia"/>
                <w:lang w:eastAsia="zh-CN"/>
              </w:rPr>
            </w:pPr>
            <w:r>
              <w:rPr>
                <w:rFonts w:hint="eastAsia" w:ascii="Times New Roman" w:hAnsi="Times New Roman" w:eastAsia="宋体"/>
                <w:lang w:eastAsia="zh-CN"/>
              </w:rPr>
              <w:t>R2#1</w:t>
            </w:r>
            <w:r>
              <w:rPr>
                <w:rFonts w:hint="eastAsia" w:ascii="Times New Roman" w:hAnsi="Times New Roman" w:eastAsiaTheme="minorEastAsia"/>
                <w:lang w:eastAsia="zh-CN"/>
              </w:rPr>
              <w:t>23</w:t>
            </w:r>
          </w:p>
        </w:tc>
        <w:tc>
          <w:tcPr>
            <w:tcW w:w="1560"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101</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21bis</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23bis</w:t>
            </w:r>
          </w:p>
        </w:tc>
        <w:tc>
          <w:tcPr>
            <w:tcW w:w="98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Theme="minorEastAsia"/>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22</w:t>
            </w:r>
          </w:p>
        </w:tc>
        <w:tc>
          <w:tcPr>
            <w:tcW w:w="106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Theme="minorEastAsia"/>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24</w:t>
            </w:r>
          </w:p>
        </w:tc>
        <w:tc>
          <w:tcPr>
            <w:tcW w:w="1517"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97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7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560" w:type="dxa"/>
            <w:vMerge w:val="continue"/>
          </w:tcPr>
          <w:p>
            <w:pPr>
              <w:jc w:val="center"/>
              <w:rPr>
                <w:rFonts w:ascii="Times New Roman" w:hAnsi="Times New Roman" w:eastAsia="宋体"/>
                <w:lang w:eastAsia="zh-CN"/>
              </w:rPr>
            </w:pPr>
          </w:p>
        </w:tc>
        <w:tc>
          <w:tcPr>
            <w:tcW w:w="108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083"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8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06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517"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p>
      <w:pPr>
        <w:pStyle w:val="13"/>
        <w:rPr>
          <w:rFonts w:ascii="Times New Roman" w:hAnsi="Times New Roman" w:eastAsia="宋体"/>
          <w:sz w:val="20"/>
          <w:szCs w:val="20"/>
          <w:lang w:eastAsia="zh-CN"/>
        </w:rPr>
      </w:pPr>
      <w:r>
        <w:rPr>
          <w:rFonts w:ascii="Times New Roman" w:hAnsi="Times New Roman" w:eastAsia="宋体"/>
          <w:sz w:val="20"/>
          <w:szCs w:val="20"/>
          <w:lang w:eastAsia="zh-CN"/>
        </w:rPr>
        <w:t>Note: upcoming RAN plenary may make adjustments to the whole Rel-1</w:t>
      </w:r>
      <w:r>
        <w:rPr>
          <w:rFonts w:hint="eastAsia" w:ascii="Times New Roman" w:hAnsi="Times New Roman" w:eastAsiaTheme="minorEastAsia"/>
          <w:sz w:val="20"/>
          <w:szCs w:val="20"/>
          <w:lang w:eastAsia="zh-CN"/>
        </w:rPr>
        <w:t>8</w:t>
      </w:r>
      <w:r>
        <w:rPr>
          <w:rFonts w:ascii="Times New Roman" w:hAnsi="Times New Roman" w:eastAsia="宋体"/>
          <w:sz w:val="20"/>
          <w:szCs w:val="20"/>
          <w:lang w:eastAsia="zh-CN"/>
        </w:rPr>
        <w:t xml:space="preserve"> time frame, hence the time plan for this WI might be subject to such adjustments</w:t>
      </w:r>
    </w:p>
    <w:p>
      <w:pPr>
        <w:jc w:val="both"/>
        <w:rPr>
          <w:rFonts w:ascii="Times New Roman" w:hAnsi="Times New Roman" w:eastAsia="宋体"/>
          <w:b/>
          <w:lang w:eastAsia="zh-CN"/>
        </w:rPr>
      </w:pPr>
    </w:p>
    <w:p>
      <w:pPr>
        <w:pStyle w:val="3"/>
        <w:rPr>
          <w:lang w:eastAsia="zh-CN"/>
        </w:rPr>
      </w:pPr>
      <w:r>
        <w:rPr>
          <w:lang w:val="en-US" w:eastAsia="zh-CN"/>
        </w:rPr>
        <w:t xml:space="preserve">2.3 </w:t>
      </w:r>
      <w:r>
        <w:rPr>
          <w:rFonts w:hint="eastAsia"/>
          <w:lang w:eastAsia="zh-CN"/>
        </w:rPr>
        <w:t>Work split among WGs</w:t>
      </w:r>
    </w:p>
    <w:p>
      <w:pPr>
        <w:rPr>
          <w:rFonts w:ascii="Times New Roman" w:hAnsi="Times New Roman" w:eastAsia="宋体"/>
          <w:lang w:eastAsia="zh-CN"/>
        </w:rPr>
      </w:pPr>
      <w:r>
        <w:rPr>
          <w:rFonts w:hint="eastAsia" w:ascii="Times New Roman" w:hAnsi="Times New Roman" w:eastAsia="宋体"/>
          <w:lang w:eastAsia="zh-CN"/>
        </w:rPr>
        <w:t>It will follow the similar work split among the WGs as we did in Rel-1</w:t>
      </w:r>
      <w:r>
        <w:rPr>
          <w:rFonts w:hint="eastAsia" w:ascii="Times New Roman" w:hAnsi="Times New Roman" w:eastAsiaTheme="minorEastAsia"/>
          <w:lang w:eastAsia="zh-CN"/>
        </w:rPr>
        <w:t>7</w:t>
      </w:r>
      <w:r>
        <w:rPr>
          <w:rFonts w:hint="eastAsia" w:ascii="Times New Roman" w:hAnsi="Times New Roman" w:eastAsia="宋体"/>
          <w:lang w:eastAsia="zh-CN"/>
        </w:rPr>
        <w:t xml:space="preserve"> SON/MDT for NR.</w:t>
      </w:r>
    </w:p>
    <w:p>
      <w:pPr>
        <w:numPr>
          <w:ilvl w:val="0"/>
          <w:numId w:val="6"/>
        </w:numPr>
        <w:spacing w:beforeLines="100"/>
        <w:rPr>
          <w:rFonts w:ascii="Times New Roman" w:hAnsi="Times New Roman" w:eastAsia="宋体"/>
          <w:lang w:eastAsia="zh-CN"/>
        </w:rPr>
      </w:pPr>
      <w:r>
        <w:rPr>
          <w:rFonts w:hint="eastAsia" w:ascii="Times New Roman" w:hAnsi="Times New Roman" w:eastAsia="宋体"/>
          <w:b/>
          <w:lang w:eastAsia="zh-CN"/>
        </w:rPr>
        <w:t>RAN3:</w:t>
      </w:r>
      <w:r>
        <w:rPr>
          <w:rFonts w:hint="eastAsia" w:ascii="Times New Roman" w:hAnsi="Times New Roman" w:eastAsia="宋体"/>
          <w:lang w:eastAsia="zh-CN"/>
        </w:rPr>
        <w:t xml:space="preserve"> The first responsible working group of the WI and take the lead of specification enhancement of SON features and MDT for network signalling </w:t>
      </w:r>
    </w:p>
    <w:p>
      <w:pPr>
        <w:numPr>
          <w:ilvl w:val="0"/>
          <w:numId w:val="6"/>
        </w:numPr>
        <w:rPr>
          <w:rFonts w:ascii="Times New Roman" w:hAnsi="Times New Roman" w:eastAsia="宋体"/>
          <w:b/>
          <w:lang w:eastAsia="zh-CN"/>
        </w:rPr>
      </w:pPr>
      <w:r>
        <w:rPr>
          <w:rFonts w:hint="eastAsia" w:ascii="Times New Roman" w:hAnsi="Times New Roman" w:eastAsia="宋体"/>
          <w:b/>
          <w:lang w:eastAsia="zh-CN"/>
        </w:rPr>
        <w:t xml:space="preserve">RAN2: </w:t>
      </w:r>
      <w:r>
        <w:rPr>
          <w:rFonts w:hint="eastAsia" w:ascii="Times New Roman" w:hAnsi="Times New Roman" w:eastAsia="宋体"/>
          <w:lang w:eastAsia="zh-CN"/>
        </w:rPr>
        <w:t xml:space="preserve">Take the lead of specification of enhancement of MDT, L2 measurements, </w:t>
      </w:r>
      <w:r>
        <w:rPr>
          <w:rFonts w:ascii="Times New Roman" w:hAnsi="Times New Roman" w:eastAsia="宋体"/>
          <w:lang w:eastAsia="zh-CN"/>
        </w:rPr>
        <w:t xml:space="preserve">and specific L2/L3 changes needed to </w:t>
      </w:r>
      <w:bookmarkStart w:id="5" w:name="OLE_LINK3"/>
      <w:r>
        <w:rPr>
          <w:rFonts w:ascii="Times New Roman" w:hAnsi="Times New Roman" w:eastAsia="宋体"/>
          <w:lang w:eastAsia="zh-CN"/>
        </w:rPr>
        <w:t xml:space="preserve">fulfil </w:t>
      </w:r>
      <w:bookmarkEnd w:id="5"/>
      <w:r>
        <w:rPr>
          <w:rFonts w:ascii="Times New Roman" w:hAnsi="Times New Roman" w:eastAsia="宋体"/>
          <w:lang w:eastAsia="zh-CN"/>
        </w:rPr>
        <w:t xml:space="preserve">SON functionalities </w:t>
      </w:r>
      <w:r>
        <w:rPr>
          <w:rFonts w:ascii="Times New Roman" w:hAnsi="Times New Roman"/>
          <w:lang w:val="en-US" w:eastAsia="zh-CN"/>
        </w:rPr>
        <w:t>over the Uu interface</w:t>
      </w:r>
    </w:p>
    <w:p>
      <w:pPr>
        <w:spacing w:beforeLines="50"/>
        <w:rPr>
          <w:rFonts w:ascii="Times New Roman" w:hAnsi="Times New Roman" w:eastAsia="宋体"/>
          <w:lang w:eastAsia="zh-CN"/>
        </w:rPr>
      </w:pPr>
      <w:r>
        <w:rPr>
          <w:rFonts w:hint="eastAsia" w:ascii="Times New Roman" w:hAnsi="Times New Roman" w:eastAsia="宋体"/>
          <w:lang w:eastAsia="zh-CN"/>
        </w:rPr>
        <w:t>All</w:t>
      </w:r>
      <w:r>
        <w:rPr>
          <w:rFonts w:ascii="Times New Roman" w:hAnsi="Times New Roman" w:eastAsia="宋体"/>
          <w:lang w:eastAsia="zh-CN"/>
        </w:rPr>
        <w:t xml:space="preserve"> WGs will then have to </w:t>
      </w:r>
      <w:r>
        <w:rPr>
          <w:rFonts w:hint="eastAsia" w:ascii="Times New Roman" w:hAnsi="Times New Roman" w:eastAsia="宋体"/>
          <w:lang w:eastAsia="zh-CN"/>
        </w:rPr>
        <w:t>involve</w:t>
      </w:r>
      <w:r>
        <w:rPr>
          <w:rFonts w:ascii="Times New Roman" w:hAnsi="Times New Roman" w:eastAsia="宋体"/>
          <w:lang w:eastAsia="zh-CN"/>
        </w:rPr>
        <w:t xml:space="preserve"> the other WG</w:t>
      </w:r>
      <w:r>
        <w:rPr>
          <w:rFonts w:hint="eastAsia" w:ascii="Times New Roman" w:hAnsi="Times New Roman" w:eastAsia="宋体"/>
          <w:lang w:eastAsia="zh-CN"/>
        </w:rPr>
        <w:t>s</w:t>
      </w:r>
      <w:r>
        <w:rPr>
          <w:rFonts w:ascii="Times New Roman" w:hAnsi="Times New Roman" w:eastAsia="宋体"/>
          <w:lang w:eastAsia="zh-CN"/>
        </w:rPr>
        <w:t xml:space="preserve"> on some aspects </w:t>
      </w:r>
      <w:r>
        <w:rPr>
          <w:rFonts w:hint="eastAsia" w:ascii="Times New Roman" w:hAnsi="Times New Roman" w:eastAsia="宋体"/>
          <w:lang w:eastAsia="zh-CN"/>
        </w:rPr>
        <w:t xml:space="preserve">when needed, </w:t>
      </w:r>
      <w:r>
        <w:rPr>
          <w:rFonts w:ascii="Times New Roman" w:hAnsi="Times New Roman" w:eastAsia="宋体"/>
          <w:lang w:eastAsia="zh-CN"/>
        </w:rPr>
        <w:t>e.g.</w:t>
      </w:r>
      <w:r>
        <w:rPr>
          <w:rFonts w:hint="eastAsia" w:ascii="Times New Roman" w:hAnsi="Times New Roman" w:eastAsia="宋体"/>
          <w:lang w:eastAsia="zh-CN"/>
        </w:rPr>
        <w:t>,</w:t>
      </w:r>
      <w:r>
        <w:rPr>
          <w:rFonts w:ascii="Times New Roman" w:hAnsi="Times New Roman" w:eastAsia="宋体"/>
          <w:lang w:eastAsia="zh-CN"/>
        </w:rPr>
        <w:t xml:space="preserve"> </w:t>
      </w:r>
    </w:p>
    <w:p>
      <w:pPr>
        <w:numPr>
          <w:ilvl w:val="0"/>
          <w:numId w:val="7"/>
        </w:numPr>
        <w:rPr>
          <w:rFonts w:ascii="Times New Roman" w:hAnsi="Times New Roman" w:eastAsia="宋体"/>
          <w:lang w:eastAsia="zh-CN"/>
        </w:rPr>
      </w:pPr>
      <w:r>
        <w:rPr>
          <w:rFonts w:ascii="Times New Roman" w:hAnsi="Times New Roman" w:eastAsia="宋体"/>
          <w:lang w:eastAsia="zh-CN"/>
        </w:rPr>
        <w:t xml:space="preserve">RAN3 will also have to </w:t>
      </w:r>
      <w:r>
        <w:rPr>
          <w:rFonts w:hint="eastAsia" w:ascii="Times New Roman" w:hAnsi="Times New Roman" w:eastAsia="宋体"/>
          <w:lang w:eastAsia="zh-CN"/>
        </w:rPr>
        <w:t>involve</w:t>
      </w:r>
      <w:r>
        <w:rPr>
          <w:rFonts w:ascii="Times New Roman" w:hAnsi="Times New Roman" w:eastAsia="宋体"/>
          <w:lang w:eastAsia="zh-CN"/>
        </w:rPr>
        <w:t xml:space="preserve"> RAN2 on the exchange of information</w:t>
      </w:r>
      <w:r>
        <w:rPr>
          <w:rFonts w:hint="eastAsia" w:ascii="Times New Roman" w:hAnsi="Times New Roman" w:eastAsia="宋体"/>
          <w:lang w:eastAsia="zh-CN"/>
        </w:rPr>
        <w:t xml:space="preserve"> over</w:t>
      </w:r>
      <w:r>
        <w:rPr>
          <w:rFonts w:ascii="Times New Roman" w:hAnsi="Times New Roman" w:eastAsia="宋体"/>
          <w:lang w:eastAsia="zh-CN"/>
        </w:rPr>
        <w:t xml:space="preserve"> the</w:t>
      </w:r>
      <w:r>
        <w:rPr>
          <w:rFonts w:hint="eastAsia" w:ascii="Times New Roman" w:hAnsi="Times New Roman" w:eastAsia="宋体"/>
          <w:lang w:eastAsia="zh-CN"/>
        </w:rPr>
        <w:t xml:space="preserve"> Uu interface</w:t>
      </w:r>
      <w:r>
        <w:rPr>
          <w:rFonts w:ascii="Times New Roman" w:hAnsi="Times New Roman" w:eastAsia="宋体"/>
          <w:lang w:eastAsia="zh-CN"/>
        </w:rPr>
        <w:t xml:space="preserve"> </w:t>
      </w:r>
      <w:r>
        <w:rPr>
          <w:rFonts w:hint="eastAsia" w:ascii="Times New Roman" w:hAnsi="Times New Roman" w:eastAsia="宋体"/>
          <w:lang w:eastAsia="zh-CN"/>
        </w:rPr>
        <w:t xml:space="preserve"> </w:t>
      </w:r>
    </w:p>
    <w:p>
      <w:pPr>
        <w:numPr>
          <w:ilvl w:val="0"/>
          <w:numId w:val="7"/>
        </w:numPr>
        <w:rPr>
          <w:rFonts w:ascii="Times New Roman" w:hAnsi="Times New Roman" w:eastAsia="宋体"/>
          <w:lang w:eastAsia="zh-CN"/>
        </w:rPr>
      </w:pPr>
      <w:r>
        <w:rPr>
          <w:rFonts w:ascii="Times New Roman" w:hAnsi="Times New Roman" w:eastAsia="宋体"/>
          <w:lang w:eastAsia="zh-CN"/>
        </w:rPr>
        <w:t>RAN2 will have to trigger RAN3 on network aspects for MDT</w:t>
      </w:r>
    </w:p>
    <w:p>
      <w:pPr>
        <w:pStyle w:val="2"/>
        <w:ind w:left="567" w:hanging="567"/>
        <w:rPr>
          <w:rFonts w:eastAsia="宋体" w:cs="Arial"/>
          <w:sz w:val="32"/>
          <w:szCs w:val="32"/>
          <w:lang w:eastAsia="zh-CN"/>
        </w:rPr>
      </w:pPr>
      <w:r>
        <w:rPr>
          <w:rFonts w:eastAsia="宋体" w:cs="Arial"/>
          <w:sz w:val="32"/>
          <w:szCs w:val="32"/>
          <w:lang w:val="en-US" w:eastAsia="zh-CN"/>
        </w:rPr>
        <w:t>3</w:t>
      </w:r>
      <w:r>
        <w:rPr>
          <w:rFonts w:hint="eastAsia" w:eastAsia="宋体" w:cs="Arial"/>
          <w:sz w:val="32"/>
          <w:szCs w:val="32"/>
          <w:lang w:eastAsia="zh-CN"/>
        </w:rPr>
        <w:tab/>
      </w:r>
      <w:r>
        <w:rPr>
          <w:rFonts w:hint="eastAsia" w:eastAsia="宋体" w:cs="Arial"/>
          <w:sz w:val="32"/>
          <w:szCs w:val="32"/>
          <w:lang w:eastAsia="zh-CN"/>
        </w:rPr>
        <w:t>Work plan</w:t>
      </w:r>
    </w:p>
    <w:p>
      <w:pPr>
        <w:pStyle w:val="3"/>
        <w:rPr>
          <w:lang w:val="en-US" w:eastAsia="zh-CN"/>
        </w:rPr>
      </w:pPr>
      <w:r>
        <w:rPr>
          <w:lang w:val="en-US" w:eastAsia="zh-CN"/>
        </w:rPr>
        <w:t xml:space="preserve">3.1 </w:t>
      </w:r>
      <w:r>
        <w:rPr>
          <w:rFonts w:hint="eastAsia"/>
          <w:lang w:val="en-US" w:eastAsia="zh-CN"/>
        </w:rPr>
        <w:t>Status of the features to be developed by RAN3</w:t>
      </w: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tbl>
      <w:tblPr>
        <w:tblStyle w:val="2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6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widowControl w:val="0"/>
              <w:spacing w:after="180"/>
              <w:rPr>
                <w:rFonts w:eastAsia="宋体"/>
                <w:b/>
                <w:sz w:val="18"/>
              </w:rPr>
            </w:pPr>
            <w:r>
              <w:rPr>
                <w:b/>
                <w:sz w:val="18"/>
              </w:rPr>
              <w:t>Features</w:t>
            </w:r>
          </w:p>
        </w:tc>
        <w:tc>
          <w:tcPr>
            <w:tcW w:w="6914" w:type="dxa"/>
            <w:tcBorders>
              <w:top w:val="single" w:color="auto" w:sz="4" w:space="0"/>
              <w:left w:val="single" w:color="auto" w:sz="4" w:space="0"/>
              <w:bottom w:val="single" w:color="585858" w:themeColor="text1" w:themeTint="A6" w:sz="4" w:space="0"/>
              <w:right w:val="single" w:color="auto" w:sz="4" w:space="0"/>
            </w:tcBorders>
          </w:tcPr>
          <w:p>
            <w:pPr>
              <w:widowControl w:val="0"/>
              <w:spacing w:after="180"/>
              <w:rPr>
                <w:rFonts w:eastAsia="宋体"/>
                <w:b/>
                <w:sz w:val="18"/>
                <w:lang w:eastAsia="zh-CN"/>
              </w:rPr>
            </w:pPr>
            <w:r>
              <w:rPr>
                <w:rFonts w:hint="eastAsia" w:eastAsia="宋体"/>
                <w:b/>
                <w:sz w:val="18"/>
                <w:lang w:eastAsia="zh-CN"/>
              </w:rPr>
              <w:t>Status</w:t>
            </w:r>
            <w:r>
              <w:rPr>
                <w:rFonts w:hint="eastAsia" w:eastAsiaTheme="minorEastAsia"/>
                <w:b/>
                <w:sz w:val="18"/>
                <w:lang w:eastAsia="zh-CN"/>
              </w:rPr>
              <w:t xml:space="preserve"> of the </w:t>
            </w:r>
            <w:r>
              <w:rPr>
                <w:rFonts w:hint="eastAsia" w:eastAsia="宋体"/>
                <w:b/>
                <w:sz w:val="18"/>
                <w:lang w:eastAsia="zh-CN"/>
              </w:rPr>
              <w:t>Tasks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8"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rFonts w:eastAsiaTheme="minorEastAsia"/>
                <w:sz w:val="18"/>
                <w:lang w:eastAsia="zh-CN"/>
              </w:rPr>
            </w:pPr>
            <w:r>
              <w:rPr>
                <w:sz w:val="18"/>
              </w:rPr>
              <w:t>&gt;Inter-RAT Successful Handover Report</w:t>
            </w:r>
          </w:p>
        </w:tc>
        <w:tc>
          <w:tcPr>
            <w:tcW w:w="6914" w:type="dxa"/>
            <w:tcBorders>
              <w:top w:val="single" w:color="auto" w:sz="4" w:space="0"/>
              <w:left w:val="single" w:color="auto" w:sz="4" w:space="0"/>
              <w:right w:val="single" w:color="auto" w:sz="4" w:space="0"/>
            </w:tcBorders>
          </w:tcPr>
          <w:p>
            <w:pPr>
              <w:pStyle w:val="81"/>
              <w:spacing w:after="120" w:line="256" w:lineRule="auto"/>
              <w:ind w:left="0"/>
              <w:rPr>
                <w:rFonts w:ascii="Calibri" w:hAnsi="Calibri" w:cs="Calibri"/>
                <w:color w:val="008000"/>
                <w:sz w:val="18"/>
                <w:szCs w:val="18"/>
              </w:rPr>
            </w:pPr>
            <w:r>
              <w:rPr>
                <w:rFonts w:ascii="Calibri" w:hAnsi="Calibri" w:cs="Calibri"/>
                <w:color w:val="008000"/>
                <w:sz w:val="18"/>
                <w:szCs w:val="18"/>
              </w:rPr>
              <w:t>SHR for intra-system inter-RAT, HO from NR to LTE will be treated first</w:t>
            </w:r>
          </w:p>
          <w:p>
            <w:pPr>
              <w:widowControl w:val="0"/>
              <w:rPr>
                <w:rFonts w:ascii="Calibri" w:hAnsi="Calibri" w:eastAsia="宋体" w:cs="Calibri"/>
                <w:sz w:val="18"/>
                <w:szCs w:val="18"/>
                <w:lang w:val="en-US" w:eastAsia="zh-CN"/>
              </w:rPr>
            </w:pPr>
            <w:r>
              <w:rPr>
                <w:rFonts w:ascii="Calibri" w:hAnsi="Calibri" w:eastAsia="宋体" w:cs="Calibri"/>
                <w:sz w:val="18"/>
                <w:szCs w:val="18"/>
                <w:lang w:val="en-US" w:eastAsia="zh-CN"/>
              </w:rPr>
              <w:t>LS to RAN2 on the scope for the support of SON/MDT enhancements</w:t>
            </w:r>
          </w:p>
          <w:p>
            <w:pPr>
              <w:widowControl w:val="0"/>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T310 and T312 related triggers are to be considered for inter-RAT SHR from NR to LTE</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NR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LTE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Measurement results for source, target and neighbours</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Cause to indicate which inter-RAT SHR triggering condition was met</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UE location Information</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RAN3 thinks that all CHO related information in intra-NR SHR (e.g., time from CHO configuration to execution) is not applicable for inter-RAT SHR. </w:t>
            </w:r>
          </w:p>
          <w:p>
            <w:pPr>
              <w:rPr>
                <w:rFonts w:ascii="Calibri" w:hAnsi="Calibri" w:cs="Calibri"/>
                <w:b/>
                <w:color w:val="008000"/>
                <w:sz w:val="18"/>
              </w:rPr>
            </w:pPr>
            <w:r>
              <w:rPr>
                <w:rFonts w:ascii="Calibri" w:hAnsi="Calibri" w:cs="Calibri"/>
                <w:color w:val="000000"/>
                <w:sz w:val="18"/>
                <w:szCs w:val="18"/>
              </w:rPr>
              <w:t xml:space="preserve">LS to RAN2 on inter-RAT SHR and SPCR in </w:t>
            </w:r>
            <w:r>
              <w:rPr>
                <w:rFonts w:ascii="Calibri" w:hAnsi="Calibri" w:cs="Calibri"/>
                <w:b/>
                <w:color w:val="008000"/>
                <w:sz w:val="18"/>
              </w:rPr>
              <w:t>Agreed</w:t>
            </w:r>
          </w:p>
          <w:p>
            <w:pPr>
              <w:rPr>
                <w:rFonts w:ascii="Calibri" w:hAnsi="Calibri" w:cs="Calibri"/>
                <w:bCs/>
                <w:color w:val="008000"/>
                <w:sz w:val="18"/>
              </w:rPr>
            </w:pPr>
            <w:r>
              <w:rPr>
                <w:rFonts w:hint="eastAsia" w:ascii="Calibri" w:hAnsi="Calibri" w:cs="Calibri"/>
                <w:bCs/>
                <w:color w:val="008000"/>
                <w:sz w:val="18"/>
              </w:rPr>
              <w:t>WA: Support inter-RAT SHR from LTE to NR at least for T304 if no impact on LTE.</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sees benefits to s</w:t>
            </w:r>
            <w:r>
              <w:rPr>
                <w:rFonts w:hint="eastAsia" w:ascii="Calibri" w:hAnsi="Calibri" w:eastAsia="宋体" w:cs="Calibri"/>
                <w:color w:val="008000"/>
                <w:sz w:val="18"/>
                <w:szCs w:val="18"/>
                <w:lang w:val="en-US" w:eastAsia="zh-CN"/>
              </w:rPr>
              <w:t>upport inter-RAT SHR from LTE to NR</w:t>
            </w:r>
            <w:r>
              <w:rPr>
                <w:rFonts w:ascii="Calibri" w:hAnsi="Calibri" w:eastAsia="宋体" w:cs="Calibri"/>
                <w:color w:val="008000"/>
                <w:sz w:val="18"/>
                <w:szCs w:val="18"/>
                <w:lang w:val="en-US" w:eastAsia="zh-CN"/>
              </w:rPr>
              <w:t xml:space="preserve"> for T304 trigger with no impact on LTE in R</w:t>
            </w:r>
            <w:r>
              <w:rPr>
                <w:rFonts w:hint="eastAsia" w:ascii="Calibri" w:hAnsi="Calibri" w:eastAsia="宋体" w:cs="Calibri"/>
                <w:color w:val="008000"/>
                <w:sz w:val="18"/>
                <w:szCs w:val="18"/>
                <w:lang w:val="en-US" w:eastAsia="zh-CN"/>
              </w:rPr>
              <w:t>el-</w:t>
            </w:r>
            <w:r>
              <w:rPr>
                <w:rFonts w:ascii="Calibri" w:hAnsi="Calibri" w:eastAsia="宋体" w:cs="Calibri"/>
                <w:color w:val="008000"/>
                <w:sz w:val="18"/>
                <w:szCs w:val="18"/>
                <w:lang w:val="en-US" w:eastAsia="zh-CN"/>
              </w:rPr>
              <w:t>18</w:t>
            </w:r>
            <w:r>
              <w:rPr>
                <w:rFonts w:hint="eastAsia" w:ascii="Calibri" w:hAnsi="Calibri" w:eastAsia="宋体" w:cs="Calibri"/>
                <w:color w:val="008000"/>
                <w:sz w:val="18"/>
                <w:szCs w:val="18"/>
                <w:lang w:val="en-US" w:eastAsia="zh-CN"/>
              </w:rPr>
              <w:t>.</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Take Option 3 (The receiving node forwards the inter-RAT SHR to corresponding node which generates the SHR trigger condition that triggers the inter-RAT SHR) as baseline for SHR forwarding mechanism in Rel-18.</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WA: The content of inter-RAT SHR from LTE to NR includes at least Source LTE</w:t>
            </w:r>
            <w:r>
              <w:rPr>
                <w:rFonts w:ascii="Calibri" w:hAnsi="Calibri" w:eastAsia="宋体" w:cs="Calibri"/>
                <w:color w:val="008000"/>
                <w:sz w:val="18"/>
                <w:szCs w:val="18"/>
                <w:lang w:val="en-US"/>
              </w:rPr>
              <w:t xml:space="preserve"> cell, Target NR cell</w:t>
            </w:r>
            <w:r>
              <w:rPr>
                <w:rFonts w:ascii="Calibri" w:hAnsi="Calibri" w:eastAsia="宋体" w:cs="Calibri"/>
                <w:color w:val="008000"/>
                <w:sz w:val="18"/>
                <w:szCs w:val="18"/>
                <w:lang w:val="en-US" w:eastAsia="zh-CN"/>
              </w:rPr>
              <w:t>.</w:t>
            </w:r>
          </w:p>
          <w:p>
            <w:pPr>
              <w:rPr>
                <w:rFonts w:hint="eastAsia" w:ascii="Calibri" w:hAnsi="Calibri" w:cs="Calibri" w:eastAsiaTheme="minorEastAsia"/>
                <w:bCs/>
                <w:color w:val="008000"/>
                <w:sz w:val="18"/>
                <w:highlight w:val="none"/>
                <w:lang w:eastAsia="zh-CN"/>
              </w:rPr>
            </w:pPr>
            <w:r>
              <w:rPr>
                <w:rFonts w:hint="eastAsia" w:ascii="Calibri" w:hAnsi="Calibri" w:cs="Calibri" w:eastAsiaTheme="minorEastAsia"/>
                <w:bCs/>
                <w:color w:val="008000"/>
                <w:sz w:val="18"/>
                <w:highlight w:val="none"/>
                <w:lang w:eastAsia="zh-CN"/>
              </w:rPr>
              <w:t xml:space="preserve">LS to RAN2 </w:t>
            </w:r>
            <w:r>
              <w:rPr>
                <w:rFonts w:ascii="Calibri" w:hAnsi="Calibri" w:cs="Calibri" w:eastAsiaTheme="minorEastAsia"/>
                <w:bCs/>
                <w:color w:val="008000"/>
                <w:sz w:val="18"/>
                <w:highlight w:val="none"/>
                <w:lang w:eastAsia="zh-CN"/>
              </w:rPr>
              <w:t>on intra-system inter-RAT SHR and on SPR</w:t>
            </w:r>
          </w:p>
          <w:p>
            <w:pPr>
              <w:rPr>
                <w:rFonts w:ascii="Calibri" w:hAnsi="Calibri" w:cs="Calibri"/>
                <w:bCs/>
                <w:color w:val="008000"/>
                <w:sz w:val="18"/>
                <w:highlight w:val="none"/>
              </w:rPr>
            </w:pPr>
            <w:r>
              <w:rPr>
                <w:rFonts w:hint="eastAsia" w:ascii="Calibri" w:hAnsi="Calibri" w:cs="Calibri"/>
                <w:bCs/>
                <w:color w:val="008000"/>
                <w:sz w:val="18"/>
                <w:highlight w:val="none"/>
              </w:rPr>
              <w:t>If a different NR node (different from source NR node) retrieves the SHR collected during an inter-RAT HO (NR to LTE), reuse ACCESS AND MOBILITY INDICATION message (over XnAP and F1AP) and Uplink/Downlink RAN configuration transfer procedures (over NGAP) to forward the SHR to the source NR node</w:t>
            </w:r>
          </w:p>
          <w:p>
            <w:pPr>
              <w:rPr>
                <w:rFonts w:ascii="Calibri" w:hAnsi="Calibri" w:cs="Calibri"/>
                <w:bCs/>
                <w:color w:val="008000"/>
                <w:sz w:val="18"/>
                <w:highlight w:val="none"/>
              </w:rPr>
            </w:pPr>
            <w:r>
              <w:rPr>
                <w:rFonts w:hint="eastAsia" w:ascii="Calibri" w:hAnsi="Calibri" w:cs="Calibri"/>
                <w:bCs/>
                <w:color w:val="008000"/>
                <w:sz w:val="18"/>
                <w:highlight w:val="none"/>
              </w:rPr>
              <w:t>No further discussion in RAN3 on above RACH related information.</w:t>
            </w:r>
          </w:p>
          <w:p>
            <w:pPr>
              <w:rPr>
                <w:rFonts w:ascii="Calibri" w:hAnsi="Calibri" w:cs="Calibri"/>
                <w:bCs/>
                <w:color w:val="008000"/>
                <w:sz w:val="18"/>
                <w:highlight w:val="none"/>
              </w:rPr>
            </w:pPr>
            <w:r>
              <w:rPr>
                <w:rFonts w:hint="eastAsia" w:ascii="Calibri" w:hAnsi="Calibri" w:cs="Calibri"/>
                <w:bCs/>
                <w:color w:val="008000"/>
                <w:sz w:val="18"/>
                <w:highlight w:val="none"/>
              </w:rPr>
              <w:t>Support collection of SHR during successful inter-RAT HO (LTE to NR) for T304 trigger without any LTE impacts in R18, if the following principles are used. Send LS to RAN2 to confirm the first 4 bullets:</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Target gNB can send SHR configuration (T304 trigger) to UE via NR container (targetRAT-MessageContainer) in MobilityFromEUTRACommand </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UE stores this SHR configuration in NR format</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If T304 trigger is met, UE records SHR in NR format </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UE reports this SHR to only an gNB (either the target gNB or another gNB)</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gNB retrieving this SHR can forward this SHR to the target gNB for SHR optimizations</w:t>
            </w:r>
          </w:p>
          <w:p>
            <w:pPr>
              <w:rPr>
                <w:rFonts w:ascii="Calibri" w:hAnsi="Calibri" w:cs="Calibri"/>
                <w:bCs/>
                <w:color w:val="008000"/>
                <w:sz w:val="18"/>
                <w:highlight w:val="none"/>
              </w:rPr>
            </w:pPr>
            <w:r>
              <w:rPr>
                <w:rFonts w:hint="eastAsia" w:ascii="Calibri" w:hAnsi="Calibri" w:cs="Calibri"/>
                <w:bCs/>
                <w:color w:val="008000"/>
                <w:sz w:val="18"/>
                <w:highlight w:val="none"/>
              </w:rPr>
              <w:t>The SHR collected during inter-RAT HO (LTE to NR) should include at least Source LTE cell and Target NR cell (assuming RAN2 confirms no LTE impacts based on the principles in Proposal 4)</w:t>
            </w:r>
          </w:p>
          <w:p>
            <w:pPr>
              <w:rPr>
                <w:rFonts w:ascii="Calibri" w:hAnsi="Calibri" w:cs="Calibri"/>
                <w:bCs/>
                <w:color w:val="008000"/>
                <w:sz w:val="18"/>
                <w:highlight w:val="none"/>
              </w:rPr>
            </w:pPr>
            <w:r>
              <w:rPr>
                <w:rFonts w:hint="eastAsia" w:ascii="Calibri" w:hAnsi="Calibri" w:cs="Calibri"/>
                <w:bCs/>
                <w:color w:val="008000"/>
                <w:sz w:val="18"/>
                <w:highlight w:val="none"/>
              </w:rPr>
              <w:t>WA: The triggers for SPR should be represented in terms of percentage values (similar to SHR)</w:t>
            </w:r>
          </w:p>
          <w:p>
            <w:pPr>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T310 and T312 related triggers are to be considered for inter-RAT SHR from NR to LTE</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NR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LTE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Measurement results for source, target and neighbours</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Cause to indicate which inter-RAT SHR triggering condition was met</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FFS on Target C-RNTI</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UE location Information</w:t>
            </w:r>
          </w:p>
          <w:p>
            <w:pPr>
              <w:pStyle w:val="82"/>
              <w:spacing w:after="160" w:line="256" w:lineRule="auto"/>
              <w:ind w:left="0"/>
              <w:rPr>
                <w:rFonts w:ascii="Calibri" w:hAnsi="Calibri" w:cs="Calibri"/>
                <w:color w:val="008000"/>
                <w:sz w:val="18"/>
                <w:szCs w:val="18"/>
              </w:rPr>
            </w:pPr>
            <w:r>
              <w:rPr>
                <w:rFonts w:ascii="Calibri" w:hAnsi="Calibri" w:cs="Calibri"/>
                <w:color w:val="008000"/>
                <w:sz w:val="18"/>
                <w:szCs w:val="18"/>
              </w:rPr>
              <w:t>FFS whether the presence of Target C-RNTI IE in inter-RAT SHR is related to the decision on supporting T304 trigger</w:t>
            </w:r>
          </w:p>
          <w:p>
            <w:pPr>
              <w:pStyle w:val="82"/>
              <w:spacing w:after="160" w:line="256" w:lineRule="auto"/>
              <w:ind w:left="0"/>
              <w:rPr>
                <w:rFonts w:ascii="Calibri" w:hAnsi="Calibri" w:cs="Calibri"/>
                <w:color w:val="008000"/>
                <w:sz w:val="18"/>
                <w:szCs w:val="18"/>
              </w:rPr>
            </w:pPr>
            <w:r>
              <w:rPr>
                <w:rFonts w:ascii="Calibri" w:hAnsi="Calibri" w:cs="Calibri"/>
                <w:color w:val="008000"/>
                <w:sz w:val="18"/>
                <w:szCs w:val="18"/>
              </w:rPr>
              <w:t>CATT, E///: Has concern on Target C-RNTI, needs further check</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RAN3 thinks that all CHO related information in intra-NR SHR (e.g., time from CHO configuration to execution) is not applicable for inter-RAT SHR. </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0"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&gt;Successful PScell change report</w:t>
            </w:r>
          </w:p>
        </w:tc>
        <w:tc>
          <w:tcPr>
            <w:tcW w:w="6914" w:type="dxa"/>
            <w:tcBorders>
              <w:top w:val="single" w:color="auto" w:sz="4" w:space="0"/>
              <w:left w:val="single" w:color="auto" w:sz="4" w:space="0"/>
              <w:right w:val="single" w:color="auto" w:sz="4" w:space="0"/>
            </w:tcBorders>
          </w:tcPr>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The following information can be included as part of SPCR (parallel discussion happening in RAN2 as well, no need to LS RAN2 if already agreed in RAN2)</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PSCell information, in case of PSCell change/CPC</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PSCell information</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SPCR cause</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Latest measurement results</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Location information of the UE</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Time elapsed between the CPAC execution and reception of CPAC configuration, in case of CPAC</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LS RAN2 to check the reporting of SPCR (delayed or immediate). Ask RAN2 whether the SPCR can be stored at the UE and sent later or is sent immediately after the successful PSCell change or addition.</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T310 of SCG and T312 of SCG are not considered as SPCR triggers for classic PSCell addition or CPA (since there is no source SN undergoing RLF). </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Send LS to RAN2 to check which node (MN or SN) retrieves the SPCR from the UE, and which node may send the configuration to the UE.</w:t>
            </w:r>
          </w:p>
          <w:p>
            <w:pPr>
              <w:rPr>
                <w:rFonts w:ascii="Calibri" w:hAnsi="Calibri" w:cs="Calibri"/>
                <w:bCs/>
                <w:color w:val="008000"/>
                <w:sz w:val="18"/>
                <w:szCs w:val="24"/>
              </w:rPr>
            </w:pPr>
            <w:r>
              <w:rPr>
                <w:rFonts w:hint="eastAsia" w:ascii="Calibri" w:hAnsi="Calibri" w:cs="Calibri"/>
                <w:bCs/>
                <w:color w:val="008000"/>
                <w:sz w:val="18"/>
                <w:szCs w:val="24"/>
              </w:rPr>
              <w:t>SPR as abbreviation for Successful PScell Change Report feature.</w:t>
            </w:r>
          </w:p>
          <w:p>
            <w:pPr>
              <w:rPr>
                <w:rFonts w:ascii="Calibri" w:hAnsi="Calibri" w:cs="Calibri"/>
                <w:bCs/>
                <w:color w:val="008000"/>
                <w:sz w:val="18"/>
              </w:rPr>
            </w:pPr>
            <w:r>
              <w:rPr>
                <w:rFonts w:ascii="Calibri" w:hAnsi="Calibri" w:cs="Calibri"/>
                <w:bCs/>
                <w:color w:val="008000"/>
                <w:sz w:val="18"/>
              </w:rPr>
              <w:t>For SN-initiated classic PScell change the source SN node decides the</w:t>
            </w:r>
            <w:r>
              <w:rPr>
                <w:rFonts w:hint="eastAsia" w:ascii="Calibri" w:hAnsi="Calibri" w:cs="Calibri"/>
                <w:bCs/>
                <w:color w:val="008000"/>
                <w:sz w:val="18"/>
              </w:rPr>
              <w:t xml:space="preserve"> T310/T312</w:t>
            </w:r>
            <w:r>
              <w:rPr>
                <w:rFonts w:ascii="Calibri" w:hAnsi="Calibri" w:cs="Calibri"/>
                <w:bCs/>
                <w:color w:val="008000"/>
                <w:sz w:val="18"/>
              </w:rPr>
              <w:t xml:space="preserve"> triggers </w:t>
            </w:r>
            <w:r>
              <w:rPr>
                <w:rFonts w:hint="eastAsia" w:ascii="Calibri" w:hAnsi="Calibri" w:cs="Calibri"/>
                <w:bCs/>
                <w:color w:val="008000"/>
                <w:sz w:val="18"/>
              </w:rPr>
              <w:t xml:space="preserve">(e.g timer threshold) and </w:t>
            </w:r>
            <w:r>
              <w:rPr>
                <w:rFonts w:ascii="Calibri" w:hAnsi="Calibri" w:cs="Calibri"/>
                <w:bCs/>
                <w:color w:val="008000"/>
                <w:sz w:val="18"/>
              </w:rPr>
              <w:t xml:space="preserve">the </w:t>
            </w:r>
            <w:r>
              <w:rPr>
                <w:rFonts w:hint="eastAsia" w:ascii="Calibri" w:hAnsi="Calibri" w:cs="Calibri"/>
                <w:bCs/>
                <w:color w:val="008000"/>
                <w:sz w:val="18"/>
              </w:rPr>
              <w:t xml:space="preserve">target </w:t>
            </w:r>
            <w:r>
              <w:rPr>
                <w:rFonts w:ascii="Calibri" w:hAnsi="Calibri" w:cs="Calibri"/>
                <w:bCs/>
                <w:color w:val="008000"/>
                <w:sz w:val="18"/>
              </w:rPr>
              <w:t>SN node decides the</w:t>
            </w:r>
            <w:r>
              <w:rPr>
                <w:rFonts w:hint="eastAsia" w:ascii="Calibri" w:hAnsi="Calibri" w:cs="Calibri"/>
                <w:bCs/>
                <w:color w:val="008000"/>
                <w:sz w:val="18"/>
              </w:rPr>
              <w:t xml:space="preserve"> T304</w:t>
            </w:r>
            <w:r>
              <w:rPr>
                <w:rFonts w:ascii="Calibri" w:hAnsi="Calibri" w:cs="Calibri"/>
                <w:bCs/>
                <w:color w:val="008000"/>
                <w:sz w:val="18"/>
              </w:rPr>
              <w:t xml:space="preserve"> triggers </w:t>
            </w:r>
            <w:r>
              <w:rPr>
                <w:rFonts w:hint="eastAsia" w:ascii="Calibri" w:hAnsi="Calibri" w:cs="Calibri"/>
                <w:bCs/>
                <w:color w:val="008000"/>
                <w:sz w:val="18"/>
              </w:rPr>
              <w:t xml:space="preserve">(e.g timer threshold). </w:t>
            </w:r>
          </w:p>
          <w:p>
            <w:pPr>
              <w:rPr>
                <w:rFonts w:ascii="Calibri" w:hAnsi="Calibri" w:cs="Calibri"/>
                <w:bCs/>
                <w:color w:val="008000"/>
                <w:sz w:val="18"/>
              </w:rPr>
            </w:pPr>
            <w:r>
              <w:rPr>
                <w:rFonts w:ascii="Calibri" w:hAnsi="Calibri" w:cs="Calibri"/>
                <w:bCs/>
                <w:color w:val="008000"/>
                <w:sz w:val="18"/>
              </w:rPr>
              <w:t>For classic addition/CPA, SN- and MN-initiated classic PSCell change/CPC, the target SN node decides the T304 trigger and performs root cause analysis.</w:t>
            </w:r>
          </w:p>
          <w:p>
            <w:pPr>
              <w:rPr>
                <w:rFonts w:ascii="Calibri" w:hAnsi="Calibri" w:cs="Calibri"/>
                <w:bCs/>
                <w:color w:val="008000"/>
                <w:sz w:val="18"/>
              </w:rPr>
            </w:pPr>
            <w:r>
              <w:rPr>
                <w:rFonts w:hint="eastAsia" w:ascii="Calibri" w:hAnsi="Calibri" w:cs="Calibri"/>
                <w:bCs/>
                <w:color w:val="008000"/>
                <w:sz w:val="18"/>
              </w:rPr>
              <w:t>For intra-SN classic PSCell change/CPC, the source SN decides SPR triggers of T310 and T312 and performs root cause analysis.</w:t>
            </w:r>
          </w:p>
          <w:p>
            <w:pPr>
              <w:rPr>
                <w:rFonts w:ascii="Calibri" w:hAnsi="Calibri" w:cs="Calibri"/>
                <w:bCs/>
                <w:color w:val="008000"/>
                <w:sz w:val="18"/>
              </w:rPr>
            </w:pPr>
            <w:r>
              <w:rPr>
                <w:rFonts w:hint="eastAsia" w:ascii="Calibri" w:hAnsi="Calibri" w:cs="Calibri"/>
                <w:bCs/>
                <w:color w:val="008000"/>
                <w:sz w:val="18"/>
              </w:rPr>
              <w:t>If the trigger is T312/310, the objective of SPR is to optimize lower layer issues of source PSCell and to optimize PSCell change configuration during mobility.</w:t>
            </w:r>
          </w:p>
          <w:p>
            <w:pPr>
              <w:rPr>
                <w:rFonts w:ascii="Calibri" w:hAnsi="Calibri" w:cs="Calibri"/>
                <w:bCs/>
                <w:color w:val="008000"/>
                <w:sz w:val="18"/>
                <w:lang w:eastAsia="zh-CN"/>
              </w:rPr>
            </w:pPr>
            <w:r>
              <w:rPr>
                <w:rFonts w:hint="eastAsia" w:ascii="Calibri" w:hAnsi="Calibri" w:cs="Calibri"/>
                <w:bCs/>
                <w:color w:val="008000"/>
                <w:sz w:val="18"/>
                <w:lang w:eastAsia="zh-CN"/>
              </w:rPr>
              <w:t>If the trigger is T312/310, for MN-initiated classic PSCell change/CPC, at least the MN who sent the SPR configuration to the UE is involved in SPR related optimizations.</w:t>
            </w:r>
          </w:p>
          <w:p>
            <w:pPr>
              <w:rPr>
                <w:rFonts w:ascii="Calibri" w:hAnsi="Calibri" w:cs="Calibri"/>
                <w:bCs/>
                <w:color w:val="008000"/>
                <w:sz w:val="18"/>
                <w:highlight w:val="none"/>
              </w:rPr>
            </w:pPr>
            <w:r>
              <w:rPr>
                <w:rFonts w:hint="eastAsia" w:ascii="Calibri" w:hAnsi="Calibri" w:cs="Calibri"/>
                <w:bCs/>
                <w:color w:val="008000"/>
                <w:sz w:val="18"/>
                <w:highlight w:val="none"/>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pPr>
              <w:rPr>
                <w:rFonts w:ascii="Calibri" w:hAnsi="Calibri" w:cs="Calibri"/>
                <w:bCs/>
                <w:color w:val="008000"/>
                <w:sz w:val="18"/>
                <w:highlight w:val="none"/>
              </w:rPr>
            </w:pPr>
            <w:r>
              <w:rPr>
                <w:rFonts w:hint="eastAsia" w:ascii="Calibri" w:hAnsi="Calibri" w:cs="Calibri"/>
                <w:bCs/>
                <w:color w:val="008000"/>
                <w:sz w:val="18"/>
                <w:highlight w:val="none"/>
              </w:rPr>
              <w:t>To assist in the forwarding of SPR, UE may include the following in SPR</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CGI of the PCell which sent the SPR configuration (presence of this IE is to be discussed)</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WA: Indication whether the PSCell change was MN-initiated or SN-initiated (RAN3 should discuss how the UE knows whether the PSCell change as MN-initiated or SN-initiated and will check with RAN2 on the mechanism)</w:t>
            </w:r>
          </w:p>
          <w:p>
            <w:pPr>
              <w:rPr>
                <w:rFonts w:ascii="Calibri" w:hAnsi="Calibri" w:cs="Calibri"/>
                <w:bCs/>
                <w:color w:val="008000"/>
                <w:sz w:val="18"/>
                <w:highlight w:val="none"/>
              </w:rPr>
            </w:pPr>
            <w:r>
              <w:rPr>
                <w:rFonts w:hint="eastAsia" w:ascii="Calibri" w:hAnsi="Calibri" w:cs="Calibri"/>
                <w:bCs/>
                <w:color w:val="008000"/>
                <w:sz w:val="18"/>
                <w:highlight w:val="none"/>
              </w:rPr>
              <w:t>Reuse ACCESS AND MOBILTY INDICATION to forward SPR over XnAP and F1AP and use Uplink/Downlink RAN Configuration Transfer for forwarding SPR over NGAP</w:t>
            </w:r>
          </w:p>
          <w:p>
            <w:pPr>
              <w:rPr>
                <w:rFonts w:ascii="Calibri" w:hAnsi="Calibri" w:cs="Calibri"/>
                <w:bCs/>
                <w:color w:val="008000"/>
                <w:sz w:val="18"/>
                <w:highlight w:val="none"/>
              </w:rPr>
            </w:pPr>
            <w:r>
              <w:rPr>
                <w:rFonts w:hint="eastAsia" w:ascii="Calibri" w:hAnsi="Calibri" w:cs="Calibri"/>
                <w:bCs/>
                <w:color w:val="008000"/>
                <w:sz w:val="18"/>
                <w:highlight w:val="none"/>
              </w:rPr>
              <w:t>To identify the UE context in the old source SN/old target SN when SPR is forwarded by old MN for SPR optimization, old MN identifies the UE context and sends the stored respective SN Mobility Information together with SPR to the old source SN/old target SN</w:t>
            </w:r>
          </w:p>
          <w:p>
            <w:pPr>
              <w:rPr>
                <w:rFonts w:ascii="Calibri" w:hAnsi="Calibri" w:cs="Calibri"/>
                <w:bCs/>
                <w:color w:val="008000"/>
                <w:sz w:val="18"/>
                <w:highlight w:val="none"/>
              </w:rPr>
            </w:pPr>
            <w:r>
              <w:rPr>
                <w:rFonts w:hint="eastAsia" w:ascii="Calibri" w:hAnsi="Calibri" w:cs="Calibri"/>
                <w:bCs/>
                <w:color w:val="008000"/>
                <w:sz w:val="18"/>
                <w:highlight w:val="none"/>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pPr>
              <w:pStyle w:val="81"/>
              <w:spacing w:after="120" w:line="256" w:lineRule="auto"/>
              <w:ind w:left="0"/>
              <w:rPr>
                <w:rFonts w:ascii="Calibri" w:hAnsi="Calibri" w:cs="Calibri"/>
                <w:i/>
                <w:iCs/>
                <w:color w:val="008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9"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p>
        </w:tc>
        <w:tc>
          <w:tcPr>
            <w:tcW w:w="6914" w:type="dxa"/>
            <w:tcBorders>
              <w:top w:val="single" w:color="auto" w:sz="4" w:space="0"/>
              <w:left w:val="single" w:color="auto" w:sz="4" w:space="0"/>
              <w:right w:val="single" w:color="auto" w:sz="4" w:space="0"/>
            </w:tcBorders>
          </w:tcPr>
          <w:p>
            <w:pPr>
              <w:rPr>
                <w:rFonts w:ascii="Calibri" w:hAnsi="Calibri" w:cs="Calibri"/>
                <w:bCs/>
                <w:color w:val="008000"/>
                <w:sz w:val="18"/>
                <w:highlight w:val="none"/>
              </w:rPr>
            </w:pPr>
            <w:r>
              <w:rPr>
                <w:rFonts w:hint="eastAsia" w:ascii="Calibri" w:hAnsi="Calibri" w:cs="Calibri"/>
                <w:bCs/>
                <w:color w:val="008000"/>
                <w:sz w:val="18"/>
                <w:highlight w:val="none"/>
              </w:rPr>
              <w:t xml:space="preserve">If the trigger is T312/T310, the objective of SPR is to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optimize PSCell change configuration and associated mobility thresholds</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optimize lower layer issues of source PSCell (e.g., optimize T310/T312 timer values)</w:t>
            </w:r>
          </w:p>
          <w:p>
            <w:pPr>
              <w:rPr>
                <w:rFonts w:ascii="Calibri" w:hAnsi="Calibri" w:cs="Calibri"/>
                <w:bCs/>
                <w:color w:val="008000"/>
                <w:sz w:val="18"/>
                <w:highlight w:val="none"/>
              </w:rPr>
            </w:pPr>
            <w:r>
              <w:rPr>
                <w:rFonts w:hint="eastAsia" w:ascii="Calibri" w:hAnsi="Calibri" w:cs="Calibri"/>
                <w:bCs/>
                <w:color w:val="008000"/>
                <w:sz w:val="18"/>
                <w:highlight w:val="none"/>
              </w:rPr>
              <w:t>Further, T310/T312 related SPR triggers can also be optimized to ensure UE doesn’t unnecessarily collect SPR or only rarely collects SPR</w:t>
            </w:r>
          </w:p>
          <w:p>
            <w:pPr>
              <w:rPr>
                <w:rFonts w:ascii="Calibri" w:hAnsi="Calibri" w:cs="Calibri"/>
                <w:bCs/>
                <w:color w:val="008000"/>
                <w:sz w:val="18"/>
                <w:highlight w:val="none"/>
              </w:rPr>
            </w:pPr>
            <w:r>
              <w:rPr>
                <w:rFonts w:hint="eastAsia" w:ascii="Calibri" w:hAnsi="Calibri" w:cs="Calibri"/>
                <w:bCs/>
                <w:color w:val="008000"/>
                <w:sz w:val="18"/>
                <w:highlight w:val="none"/>
              </w:rPr>
              <w:t>Irrespective of option 1/2/3, in case SPR is collected during MN-initiated PSCell change, SPR optimizations are done in both MN and source SN</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MN is responsible to optimize PSCell change configuration and associated mobility thresholds</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Source SN is responsible to optimize </w:t>
            </w:r>
            <w:r>
              <w:rPr>
                <w:rFonts w:hint="eastAsia" w:ascii="Calibri" w:hAnsi="Calibri" w:cs="Calibri"/>
                <w:color w:val="028206"/>
                <w:kern w:val="2"/>
                <w:sz w:val="16"/>
                <w:szCs w:val="16"/>
                <w:highlight w:val="none"/>
              </w:rPr>
              <w:t>lower layer issue</w:t>
            </w:r>
            <w:r>
              <w:rPr>
                <w:rFonts w:ascii="Calibri" w:hAnsi="Calibri" w:cs="Calibri"/>
                <w:color w:val="028206"/>
                <w:kern w:val="2"/>
                <w:sz w:val="16"/>
                <w:szCs w:val="16"/>
                <w:highlight w:val="none"/>
              </w:rPr>
              <w:t>s</w:t>
            </w:r>
            <w:r>
              <w:rPr>
                <w:rFonts w:hint="eastAsia" w:ascii="Calibri" w:hAnsi="Calibri" w:cs="Calibri"/>
                <w:color w:val="028206"/>
                <w:kern w:val="2"/>
                <w:sz w:val="16"/>
                <w:szCs w:val="16"/>
                <w:highlight w:val="none"/>
              </w:rPr>
              <w:t xml:space="preserve"> (e.g.</w:t>
            </w:r>
            <w:r>
              <w:rPr>
                <w:rFonts w:ascii="Calibri" w:hAnsi="Calibri" w:cs="Calibri"/>
                <w:color w:val="028206"/>
                <w:kern w:val="2"/>
                <w:sz w:val="16"/>
                <w:szCs w:val="16"/>
                <w:highlight w:val="none"/>
              </w:rPr>
              <w:t>, optimize</w:t>
            </w:r>
            <w:r>
              <w:rPr>
                <w:rFonts w:hint="eastAsia" w:ascii="Calibri" w:hAnsi="Calibri" w:cs="Calibri"/>
                <w:color w:val="028206"/>
                <w:kern w:val="2"/>
                <w:sz w:val="16"/>
                <w:szCs w:val="16"/>
                <w:highlight w:val="none"/>
              </w:rPr>
              <w:t xml:space="preserve"> </w:t>
            </w:r>
            <w:r>
              <w:rPr>
                <w:rFonts w:ascii="Calibri" w:hAnsi="Calibri" w:cs="Calibri"/>
                <w:color w:val="028206"/>
                <w:kern w:val="2"/>
                <w:sz w:val="16"/>
                <w:szCs w:val="16"/>
                <w:highlight w:val="none"/>
              </w:rPr>
              <w:t>T310/T312 timer values)</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In case of SN initiated PSCell change,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Source SN may send the SN Mobility Information to MN via SN Change Required message (already supported by existing specifications)</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Target SN may send the SN Mobility Information to MN in SN Addition Request Acknowledge message</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If received, MN stores the SN Mobility Information of both source SN and target SN and sends it to the “node performing SPR optimization” along with SPR in ACCESS AND MOBILITY INDICATION over XnAP</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In case of MN initiated PSCell change,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Source SN may send the SN Mobility Information to MN via SN Release Request Acknowledge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Target SN may send the SN Mobility Information to MN in SN Addition Request Acknowledge message</w:t>
            </w:r>
          </w:p>
          <w:p>
            <w:pPr>
              <w:pStyle w:val="61"/>
              <w:numPr>
                <w:ilvl w:val="0"/>
                <w:numId w:val="11"/>
              </w:numPr>
              <w:spacing w:after="160" w:line="256" w:lineRule="auto"/>
              <w:ind w:left="200" w:firstLine="0" w:firstLineChars="0"/>
              <w:rPr>
                <w:rFonts w:ascii="Calibri" w:hAnsi="Calibri" w:cs="Calibri"/>
                <w:i/>
                <w:iCs/>
                <w:color w:val="008000"/>
                <w:sz w:val="21"/>
                <w:szCs w:val="21"/>
              </w:rPr>
            </w:pPr>
            <w:r>
              <w:rPr>
                <w:rFonts w:ascii="Calibri" w:hAnsi="Calibri" w:cs="Calibri"/>
                <w:color w:val="028206"/>
                <w:kern w:val="2"/>
                <w:sz w:val="16"/>
                <w:szCs w:val="16"/>
                <w:highlight w:val="none"/>
              </w:rPr>
              <w:t>If received, MN stores the SN Mobility Information of both source SN and target SN and sends it to the “node performing SPR optimization” along with SPR in ACCESS AND MOBILITY INDICATION over XnAP</w:t>
            </w:r>
          </w:p>
          <w:p>
            <w:pPr>
              <w:rPr>
                <w:rFonts w:hint="eastAsia" w:ascii="Calibri" w:hAnsi="Calibri" w:cs="Calibri"/>
                <w:bCs/>
                <w:color w:val="008000"/>
                <w:sz w:val="18"/>
                <w:highlight w:val="none"/>
                <w:lang w:eastAsia="en-US"/>
              </w:rPr>
            </w:pPr>
            <w:r>
              <w:rPr>
                <w:rFonts w:hint="eastAsia" w:ascii="Calibri" w:hAnsi="Calibri" w:cs="Calibri"/>
                <w:bCs/>
                <w:color w:val="008000"/>
                <w:sz w:val="18"/>
                <w:highlight w:val="none"/>
                <w:lang w:eastAsia="en-US"/>
              </w:rPr>
              <w:t>If SPR available indication via SN RRCReconfigComplete is received by SN, SN should inform MN that an SPR is available at the UE e.g.., a new IE can be added in S-NODE MODIFICATION REQUIRED message.</w:t>
            </w:r>
          </w:p>
          <w:p>
            <w:pPr>
              <w:pStyle w:val="61"/>
              <w:numPr>
                <w:ilvl w:val="0"/>
                <w:numId w:val="0"/>
              </w:numPr>
              <w:spacing w:after="160" w:line="256" w:lineRule="auto"/>
              <w:rPr>
                <w:rFonts w:ascii="Calibri" w:hAnsi="Calibri" w:cs="Calibri"/>
                <w:i/>
                <w:iCs/>
                <w:color w:val="008000"/>
                <w:sz w:val="21"/>
                <w:szCs w:val="21"/>
              </w:rPr>
            </w:pPr>
            <w:r>
              <w:rPr>
                <w:rFonts w:hint="eastAsia" w:ascii="Calibri" w:hAnsi="Calibri" w:eastAsia="MS Mincho" w:cs="Calibri"/>
                <w:bCs/>
                <w:color w:val="008000"/>
                <w:sz w:val="18"/>
                <w:szCs w:val="20"/>
                <w:highlight w:val="none"/>
                <w:lang w:val="en-GB" w:eastAsia="en-US" w:bidi="ar-SA"/>
              </w:rPr>
              <w:t>Turn the following WA to agreement: The triggers for SPR should be represented in terms of percentage values (similar to SHR).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8"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w:t>
            </w:r>
            <w:r>
              <w:rPr>
                <w:rFonts w:hint="eastAsia"/>
                <w:sz w:val="18"/>
              </w:rPr>
              <w:t>MRO for CPAC</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cs="Calibri" w:eastAsiaTheme="minorEastAsia"/>
                <w:color w:val="008000"/>
                <w:sz w:val="18"/>
                <w:szCs w:val="18"/>
                <w:lang w:eastAsia="zh-CN"/>
              </w:rPr>
            </w:pPr>
            <w:r>
              <w:rPr>
                <w:rFonts w:ascii="Calibri" w:hAnsi="Calibri" w:cs="Calibri"/>
                <w:color w:val="008000"/>
                <w:sz w:val="18"/>
                <w:szCs w:val="18"/>
              </w:rPr>
              <w:t>MRO for CPC and CPA based on the R17 NR-DC MRO solution</w:t>
            </w:r>
          </w:p>
          <w:p>
            <w:pPr>
              <w:rPr>
                <w:rFonts w:ascii="Calibri" w:hAnsi="Calibri" w:eastAsia="等线" w:cs="Calibri"/>
                <w:bCs/>
                <w:color w:val="008000"/>
                <w:sz w:val="18"/>
              </w:rPr>
            </w:pPr>
            <w:r>
              <w:rPr>
                <w:rFonts w:ascii="Calibri" w:hAnsi="Calibri" w:eastAsia="等线" w:cs="Calibri"/>
                <w:bCs/>
                <w:color w:val="008000"/>
                <w:sz w:val="18"/>
              </w:rPr>
              <w:t>Not consider too late CPA.</w:t>
            </w:r>
          </w:p>
          <w:p>
            <w:pPr>
              <w:rPr>
                <w:rFonts w:ascii="Calibri" w:hAnsi="Calibri" w:eastAsia="等线" w:cs="Calibri"/>
                <w:bCs/>
                <w:color w:val="008000"/>
                <w:sz w:val="18"/>
              </w:rPr>
            </w:pPr>
            <w:r>
              <w:rPr>
                <w:rFonts w:ascii="Calibri" w:hAnsi="Calibri" w:eastAsia="等线" w:cs="Calibri"/>
                <w:bCs/>
                <w:color w:val="008000"/>
                <w:sz w:val="18"/>
              </w:rPr>
              <w:t>CPA Execution to wrong PSCell will be considered, e.g. UE receives CPA configuration and CPA execution condition is satisfied, CPA execution fails or an SCG failure occurs shortly after a successful CPA execution; a suitable PSCell different with target PSCell is found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Too Late CPC Execution, Too Early CPC Execution and CPC Execution to wrong PSCell</w:t>
            </w:r>
            <w:r>
              <w:rPr>
                <w:rFonts w:ascii="Calibri" w:hAnsi="Calibri" w:cs="Calibri"/>
                <w:color w:val="008000"/>
                <w:sz w:val="18"/>
              </w:rPr>
              <w:t xml:space="preserve"> </w:t>
            </w:r>
            <w:r>
              <w:rPr>
                <w:rFonts w:ascii="Calibri" w:hAnsi="Calibri" w:eastAsia="等线" w:cs="Calibri"/>
                <w:bCs/>
                <w:color w:val="008000"/>
                <w:sz w:val="18"/>
              </w:rPr>
              <w:t xml:space="preserve">will be considered: </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Too Late CPC Execution: UE receives CPC configuration, while a SCG failure occurs before CPC execution condition is satisfied; a suitable PSCell different with source PSCell is found based on the measurements reported for the UE.</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For MRO for CPAC, deprioritize Case i/ii/iii/iv:</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 mixed scenarios of legacy PA and CPA, i.e. UE receives CPA configuration, a legacy PSCell addition is performed but fails, or a legacy PSCell addition is performed and succeeds but an SCG failure occurs shortly after the successful legacy PSCell addition.</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ii: mixed scenarios of legacy PC and CPC, i.e. UE receives CPC configuration, a legacy PSCell change is performed but fails, or a legacy PSCell change is performed and succeeds but an SCG failure occurs shortly after the successful legacy PSCell change.</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iii: MCG RLF or handover failure or CHO execution failure before CPA/CPC execution.</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iv: CHO-CPC coexistence scenarios with low priority.</w:t>
            </w:r>
          </w:p>
          <w:p>
            <w:pPr>
              <w:rPr>
                <w:rFonts w:ascii="Calibri" w:hAnsi="Calibri" w:cs="Calibri"/>
                <w:bCs/>
                <w:color w:val="008000"/>
                <w:sz w:val="18"/>
              </w:rPr>
            </w:pPr>
            <w:r>
              <w:rPr>
                <w:rFonts w:hint="eastAsia" w:ascii="Calibri" w:hAnsi="Calibri" w:cs="Calibri"/>
                <w:bCs/>
                <w:color w:val="008000"/>
                <w:sz w:val="18"/>
              </w:rPr>
              <w:t>Too Early CPA Execution will be considered</w:t>
            </w:r>
            <w:r>
              <w:rPr>
                <w:rFonts w:ascii="Calibri" w:hAnsi="Calibri" w:cs="Calibri"/>
                <w:bCs/>
                <w:color w:val="008000"/>
                <w:sz w:val="18"/>
              </w:rPr>
              <w:t>.</w:t>
            </w:r>
          </w:p>
          <w:p>
            <w:pPr>
              <w:rPr>
                <w:rFonts w:ascii="Calibri" w:hAnsi="Calibri" w:cs="Calibri"/>
                <w:bCs/>
                <w:color w:val="008000"/>
                <w:sz w:val="18"/>
              </w:rPr>
            </w:pPr>
            <w:r>
              <w:rPr>
                <w:rFonts w:hint="eastAsia" w:ascii="Calibri" w:hAnsi="Calibri" w:cs="Calibri"/>
                <w:bCs/>
                <w:color w:val="008000"/>
                <w:sz w:val="18"/>
              </w:rPr>
              <w:t>Naming for too early CPA execution? No need to rename.</w:t>
            </w:r>
          </w:p>
          <w:p>
            <w:pPr>
              <w:rPr>
                <w:rFonts w:ascii="Calibri" w:hAnsi="Calibri" w:cs="Calibri"/>
                <w:bCs/>
                <w:color w:val="008000"/>
                <w:sz w:val="18"/>
              </w:rPr>
            </w:pPr>
            <w:r>
              <w:rPr>
                <w:rFonts w:hint="eastAsia" w:ascii="Calibri" w:hAnsi="Calibri" w:cs="Calibri"/>
                <w:bCs/>
                <w:color w:val="008000"/>
                <w:sz w:val="18"/>
              </w:rPr>
              <w:t>Update the definition to wrong PSCell change/addition should be splitting to sub cases: 1) the wrong candidate cell comes from the cell in the list provided by the initiating node or 2) the wrong candidate cell is selected by the target node.</w:t>
            </w:r>
          </w:p>
          <w:p>
            <w:pPr>
              <w:rPr>
                <w:rFonts w:ascii="Calibri" w:hAnsi="Calibri" w:cs="Calibri"/>
                <w:bCs/>
                <w:color w:val="008000"/>
                <w:sz w:val="18"/>
              </w:rPr>
            </w:pPr>
            <w:r>
              <w:rPr>
                <w:rFonts w:hint="eastAsia" w:ascii="Calibri" w:hAnsi="Calibri" w:cs="Calibri"/>
                <w:bCs/>
                <w:color w:val="008000"/>
                <w:sz w:val="18"/>
              </w:rPr>
              <w:t xml:space="preserve">Information available in the network nodes should not be included in the </w:t>
            </w:r>
            <w:r>
              <w:rPr>
                <w:rFonts w:hint="eastAsia" w:ascii="Calibri" w:hAnsi="Calibri" w:cs="Calibri"/>
                <w:bCs/>
                <w:i/>
                <w:iCs/>
                <w:color w:val="008000"/>
                <w:sz w:val="18"/>
              </w:rPr>
              <w:t>SCGFailureInformation</w:t>
            </w:r>
            <w:r>
              <w:rPr>
                <w:rFonts w:hint="eastAsia" w:ascii="Calibri" w:hAnsi="Calibri" w:cs="Calibri"/>
                <w:bCs/>
                <w:color w:val="008000"/>
                <w:sz w:val="18"/>
              </w:rPr>
              <w:t>.</w:t>
            </w:r>
          </w:p>
          <w:p>
            <w:pPr>
              <w:rPr>
                <w:rFonts w:ascii="Calibri" w:hAnsi="Calibri" w:cs="Calibri"/>
                <w:bCs/>
                <w:color w:val="008000"/>
                <w:sz w:val="18"/>
              </w:rPr>
            </w:pPr>
            <w:r>
              <w:rPr>
                <w:rFonts w:hint="eastAsia" w:ascii="Calibri" w:hAnsi="Calibri" w:cs="Calibri"/>
                <w:bCs/>
                <w:color w:val="008000"/>
                <w:sz w:val="18"/>
              </w:rPr>
              <w:t>Reusing R17 signalling mechanism to report CPA/CPC failure/ related information over Xn from MN to source SN or last serving SN.</w:t>
            </w:r>
          </w:p>
          <w:p>
            <w:pPr>
              <w:rPr>
                <w:rFonts w:ascii="Calibri" w:hAnsi="Calibri" w:cs="Calibri"/>
                <w:bCs/>
                <w:color w:val="008000"/>
                <w:sz w:val="18"/>
              </w:rPr>
            </w:pPr>
            <w:r>
              <w:rPr>
                <w:rFonts w:hint="eastAsia" w:ascii="Calibri" w:hAnsi="Calibri" w:cs="Calibri"/>
                <w:bCs/>
                <w:color w:val="008000"/>
                <w:sz w:val="18"/>
              </w:rPr>
              <w:t>For MRO for CPC and CPA, if there are multiple events configured for CPA/CPC, the UE reports the first triggered CPAC event, and the time duration between the two triggered CPAC events.</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Definitions of MRO events for CPAC will be introduced in TS 37.340 in a new chapter </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During CPAC configuration, the value of the Time Stay IE for the source PSCell UHI, sent in S-NODE ADDITION REQUEST message, does not reflect the exact time the UE stayed in the source PSCell. </w:t>
            </w:r>
          </w:p>
          <w:p>
            <w:pPr>
              <w:rPr>
                <w:rFonts w:ascii="Calibri" w:hAnsi="Calibri" w:cs="Calibri"/>
                <w:bCs/>
                <w:color w:val="008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8"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&gt;MRO</w:t>
            </w:r>
            <w:r>
              <w:rPr>
                <w:rFonts w:hint="eastAsia"/>
                <w:sz w:val="18"/>
              </w:rPr>
              <w:t xml:space="preserve"> for </w:t>
            </w:r>
            <w:r>
              <w:rPr>
                <w:sz w:val="18"/>
              </w:rPr>
              <w:t>fast MCG recovery</w:t>
            </w:r>
          </w:p>
          <w:p>
            <w:pPr>
              <w:widowControl w:val="0"/>
              <w:spacing w:after="180"/>
              <w:ind w:left="200" w:leftChars="100"/>
              <w:rPr>
                <w:sz w:val="18"/>
              </w:rPr>
            </w:pPr>
          </w:p>
          <w:p>
            <w:pPr>
              <w:widowControl w:val="0"/>
              <w:spacing w:after="180"/>
              <w:ind w:left="200" w:leftChars="100"/>
              <w:rPr>
                <w:sz w:val="18"/>
              </w:rPr>
            </w:pPr>
          </w:p>
        </w:tc>
        <w:tc>
          <w:tcPr>
            <w:tcW w:w="6914" w:type="dxa"/>
            <w:tcBorders>
              <w:top w:val="single" w:color="auto" w:sz="4" w:space="0"/>
              <w:left w:val="single" w:color="auto" w:sz="4" w:space="0"/>
              <w:bottom w:val="single" w:color="auto" w:sz="4" w:space="0"/>
              <w:right w:val="single" w:color="auto" w:sz="4" w:space="0"/>
            </w:tcBorders>
          </w:tcPr>
          <w:p>
            <w:pPr>
              <w:pStyle w:val="81"/>
              <w:numPr>
                <w:ilvl w:val="0"/>
                <w:numId w:val="12"/>
              </w:numPr>
              <w:spacing w:after="120" w:line="256" w:lineRule="auto"/>
              <w:rPr>
                <w:rFonts w:ascii="Calibri" w:hAnsi="Calibri" w:eastAsia="MS Mincho" w:cs="Calibri"/>
                <w:color w:val="008000"/>
                <w:sz w:val="18"/>
                <w:szCs w:val="18"/>
                <w:lang w:val="en-GB" w:eastAsia="en-US"/>
              </w:rPr>
            </w:pPr>
            <w:bookmarkStart w:id="6" w:name="OLE_LINK4"/>
            <w:r>
              <w:rPr>
                <w:rFonts w:ascii="Calibri" w:hAnsi="Calibri" w:eastAsia="MS Mincho" w:cs="Calibri"/>
                <w:color w:val="008000"/>
                <w:sz w:val="18"/>
                <w:szCs w:val="18"/>
                <w:lang w:val="en-GB" w:eastAsia="en-US"/>
              </w:rPr>
              <w:t xml:space="preserve">SCG fails or is deactivated when the UE attempts MCG recovery (i.e. a SCG failure/deactivation while T316 is running after MCG failure) </w:t>
            </w:r>
          </w:p>
          <w:p>
            <w:pPr>
              <w:pStyle w:val="81"/>
              <w:numPr>
                <w:ilvl w:val="0"/>
                <w:numId w:val="12"/>
              </w:numPr>
              <w:spacing w:after="120" w:line="256" w:lineRule="auto"/>
              <w:rPr>
                <w:rFonts w:ascii="Calibri" w:hAnsi="Calibri" w:eastAsia="MS Mincho" w:cs="Calibri"/>
                <w:color w:val="008000"/>
                <w:sz w:val="18"/>
                <w:szCs w:val="18"/>
                <w:lang w:val="en-GB" w:eastAsia="en-US"/>
              </w:rPr>
            </w:pPr>
            <w:r>
              <w:rPr>
                <w:rFonts w:ascii="Calibri" w:hAnsi="Calibri" w:eastAsia="MS Mincho" w:cs="Calibri"/>
                <w:color w:val="008000"/>
                <w:sz w:val="18"/>
                <w:szCs w:val="18"/>
                <w:lang w:val="en-GB" w:eastAsia="en-US"/>
              </w:rPr>
              <w:t xml:space="preserve">the signalling delay is longer than the time the UE waits for the response (T316 expired); </w:t>
            </w:r>
          </w:p>
          <w:p>
            <w:pPr>
              <w:pStyle w:val="81"/>
              <w:numPr>
                <w:ilvl w:val="0"/>
                <w:numId w:val="12"/>
              </w:numPr>
              <w:spacing w:after="120" w:line="256" w:lineRule="auto"/>
              <w:rPr>
                <w:rFonts w:ascii="Calibri" w:hAnsi="Calibri" w:eastAsia="MS Mincho" w:cs="Calibri"/>
                <w:color w:val="008000"/>
                <w:sz w:val="18"/>
                <w:szCs w:val="18"/>
                <w:lang w:val="en-GB" w:eastAsia="en-US"/>
              </w:rPr>
            </w:pPr>
            <w:r>
              <w:rPr>
                <w:rFonts w:ascii="Calibri" w:hAnsi="Calibri" w:eastAsia="MS Mincho" w:cs="Calibri"/>
                <w:color w:val="008000"/>
                <w:sz w:val="18"/>
                <w:szCs w:val="18"/>
                <w:lang w:val="en-GB" w:eastAsia="en-US"/>
              </w:rPr>
              <w:t>other problem are not precluded if legacy MRO mechanism cannot cope with it.</w:t>
            </w:r>
          </w:p>
          <w:p>
            <w:pPr>
              <w:pStyle w:val="81"/>
              <w:spacing w:after="120" w:line="256" w:lineRule="auto"/>
              <w:ind w:left="0"/>
              <w:rPr>
                <w:rFonts w:ascii="Calibri" w:hAnsi="Calibri" w:eastAsia="MS Mincho" w:cs="Calibri"/>
                <w:color w:val="008000"/>
                <w:sz w:val="18"/>
                <w:szCs w:val="18"/>
                <w:lang w:val="en-GB" w:eastAsia="en-US"/>
              </w:rPr>
            </w:pPr>
          </w:p>
          <w:p>
            <w:pPr>
              <w:rPr>
                <w:rFonts w:ascii="Calibri" w:hAnsi="Calibri" w:cs="Calibri"/>
                <w:bCs/>
                <w:color w:val="008000"/>
                <w:sz w:val="18"/>
              </w:rPr>
            </w:pPr>
            <w:r>
              <w:rPr>
                <w:rFonts w:hint="eastAsia" w:ascii="Calibri" w:hAnsi="Calibri" w:cs="Calibri"/>
                <w:bCs/>
                <w:color w:val="008000"/>
                <w:sz w:val="18"/>
              </w:rPr>
              <w:t>It is beneficial for the UE to report at least the cause of the fast MCG recovery failure (at least T316 expiry, SCG failure) and also, if the problem is SCG failure, the SCG failure type (at least t310-Expiry, randomAccessProblem, rlc-MaxNumRetx).</w:t>
            </w:r>
            <w:bookmarkEnd w:id="6"/>
          </w:p>
          <w:p>
            <w:pPr>
              <w:rPr>
                <w:rFonts w:ascii="Calibri" w:hAnsi="Calibri" w:cs="Calibri"/>
                <w:bCs/>
                <w:color w:val="008000"/>
                <w:sz w:val="18"/>
              </w:rPr>
            </w:pPr>
            <w:r>
              <w:rPr>
                <w:rFonts w:hint="eastAsia" w:ascii="Calibri" w:hAnsi="Calibri" w:cs="Calibri"/>
                <w:bCs/>
                <w:color w:val="008000"/>
                <w:sz w:val="18"/>
              </w:rPr>
              <w:t>Sub-Case b1/Sub-Case b2 would not be considered for MRO for fast MCG recovery failure.</w:t>
            </w:r>
          </w:p>
          <w:p>
            <w:pPr>
              <w:rPr>
                <w:rFonts w:ascii="Calibri" w:hAnsi="Calibri" w:cs="Calibri"/>
                <w:bCs/>
                <w:color w:val="008000"/>
                <w:sz w:val="18"/>
              </w:rPr>
            </w:pPr>
            <w:r>
              <w:rPr>
                <w:rFonts w:hint="eastAsia" w:ascii="Calibri" w:hAnsi="Calibri" w:cs="Calibri"/>
                <w:bCs/>
                <w:color w:val="008000"/>
                <w:sz w:val="18"/>
              </w:rPr>
              <w:t>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Case f1, where the SCG fails or is deactivated yet before the UE sends the MCGFailureInformation is to be addressed. </w:t>
            </w:r>
          </w:p>
          <w:p>
            <w:pPr>
              <w:rPr>
                <w:rFonts w:ascii="Calibri" w:hAnsi="Calibri" w:cs="Calibri"/>
                <w:bCs/>
                <w:color w:val="008000"/>
                <w:sz w:val="18"/>
                <w:highlight w:val="none"/>
              </w:rPr>
            </w:pPr>
            <w:r>
              <w:rPr>
                <w:rFonts w:hint="eastAsia" w:ascii="Calibri" w:hAnsi="Calibri" w:cs="Calibri"/>
                <w:bCs/>
                <w:color w:val="008000"/>
                <w:sz w:val="18"/>
                <w:highlight w:val="none"/>
              </w:rPr>
              <w:t>Scenario ‘a’ is redefined: SCG fails when the UE is undergoing fast MCG recovery (i.e. SCG failure happens while T316 is running).</w:t>
            </w:r>
          </w:p>
          <w:p>
            <w:pPr>
              <w:rPr>
                <w:rFonts w:ascii="Calibri" w:hAnsi="Calibri" w:cs="Calibri"/>
                <w:bCs/>
                <w:color w:val="008000"/>
                <w:sz w:val="18"/>
              </w:rPr>
            </w:pPr>
            <w:r>
              <w:rPr>
                <w:rFonts w:hint="eastAsia" w:ascii="Calibri" w:hAnsi="Calibri" w:cs="Calibri"/>
                <w:bCs/>
                <w:color w:val="008000"/>
                <w:sz w:val="18"/>
                <w:highlight w:val="none"/>
                <w:lang w:eastAsia="en-US"/>
              </w:rPr>
              <w:t>Agree to define case c in R18. Solution can be further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5"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rFonts w:hint="eastAsia"/>
                <w:sz w:val="18"/>
              </w:rPr>
              <w:t>&gt;</w:t>
            </w:r>
            <w:r>
              <w:rPr>
                <w:sz w:val="18"/>
              </w:rPr>
              <w:t>MRO for inter-system handover for voice fallback</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eastAsia="等线" w:cs="Calibri"/>
                <w:bCs/>
                <w:color w:val="008000"/>
                <w:sz w:val="18"/>
              </w:rPr>
            </w:pPr>
            <w:r>
              <w:rPr>
                <w:rFonts w:ascii="Calibri" w:hAnsi="Calibri" w:eastAsia="等线" w:cs="Calibri"/>
                <w:bCs/>
                <w:color w:val="008000"/>
                <w:sz w:val="18"/>
              </w:rPr>
              <w:t>Consider Case 1-2 for MRO enhancements for inter-system inter-RAT handover for voice fallback:</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eastAsia="zh-CN"/>
              </w:rPr>
              <w:t xml:space="preserve">  </w:t>
            </w:r>
            <w:r>
              <w:rPr>
                <w:rFonts w:ascii="Calibri" w:hAnsi="Calibri" w:eastAsia="等线" w:cs="Calibri"/>
                <w:bCs/>
                <w:color w:val="008000"/>
                <w:sz w:val="18"/>
              </w:rPr>
              <w:t>Case 1: after failure (HOF/RLF) of inter-system inter-RAT handover from NR to E-UTRAN for voice fallback, a suitable E-UTRA cell is selected, and the UE tries RRC connection setup procedure for the voice service in the E-UTRA cell.</w:t>
            </w:r>
          </w:p>
          <w:p>
            <w:pPr>
              <w:ind w:left="144" w:hanging="144"/>
              <w:rPr>
                <w:rFonts w:ascii="Calibri" w:hAnsi="Calibri" w:eastAsia="等线" w:cs="Calibri"/>
                <w:bCs/>
                <w:color w:val="008000"/>
                <w:sz w:val="18"/>
                <w:lang w:eastAsia="zh-CN"/>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2: after failure (HOF) of inter-system inter-RAT handover from NR to E-UTRAN for voice fallback, none suitable E-UTRAN cell can be selected, the UE reverts back to the configuration of the source PCell and initiates RRC re-establishment procedure in NR.</w:t>
            </w:r>
          </w:p>
          <w:p>
            <w:pPr>
              <w:rPr>
                <w:rFonts w:ascii="Calibri" w:hAnsi="Calibri" w:eastAsia="等线" w:cs="Calibri"/>
                <w:bCs/>
                <w:color w:val="008000"/>
                <w:sz w:val="18"/>
                <w:lang w:eastAsia="zh-CN"/>
              </w:rPr>
            </w:pPr>
            <w:r>
              <w:rPr>
                <w:rFonts w:ascii="Calibri" w:hAnsi="Calibri" w:eastAsia="等线" w:cs="Calibri"/>
                <w:bCs/>
                <w:color w:val="008000"/>
                <w:sz w:val="18"/>
              </w:rPr>
              <w:t>WA: The RLF Report needs to indicate that the last failed inter-system inter-RAT HO was triggered due to voice fallback. FFS on whether an explicit or implicit method is needed or not.</w:t>
            </w:r>
          </w:p>
          <w:p>
            <w:pPr>
              <w:rPr>
                <w:rFonts w:ascii="Calibri" w:hAnsi="Calibri" w:eastAsia="等线" w:cs="Calibri"/>
                <w:bCs/>
                <w:color w:val="008000"/>
                <w:sz w:val="18"/>
              </w:rPr>
            </w:pPr>
            <w:r>
              <w:rPr>
                <w:rFonts w:ascii="Calibri" w:hAnsi="Calibri" w:eastAsia="等线" w:cs="Calibri"/>
                <w:bCs/>
                <w:color w:val="008000"/>
                <w:sz w:val="18"/>
              </w:rPr>
              <w:t>Deprioritize Case 5 for MRO enhancements for inter-system inter-RAT handover for voice fallback:</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5: the UE successfully performs inter-system inter-RAT handover from NR to E-UTRAN for voice fallback, but the handover is about to failure.</w:t>
            </w:r>
          </w:p>
          <w:p>
            <w:pPr>
              <w:rPr>
                <w:rFonts w:ascii="Calibri" w:hAnsi="Calibri" w:eastAsia="等线" w:cs="Calibri"/>
                <w:bCs/>
                <w:color w:val="008000"/>
                <w:sz w:val="18"/>
              </w:rPr>
            </w:pPr>
            <w:r>
              <w:rPr>
                <w:rFonts w:ascii="Calibri" w:hAnsi="Calibri" w:eastAsia="等线" w:cs="Calibri"/>
                <w:bCs/>
                <w:color w:val="008000"/>
                <w:sz w:val="18"/>
              </w:rPr>
              <w:t>Deprioritize MRO enhancements for redirection for voice fallback.</w:t>
            </w:r>
          </w:p>
          <w:p>
            <w:pPr>
              <w:rPr>
                <w:rFonts w:ascii="Calibri" w:hAnsi="Calibri" w:eastAsia="等线" w:cs="Calibri"/>
                <w:bCs/>
                <w:color w:val="008000"/>
                <w:sz w:val="18"/>
              </w:rPr>
            </w:pPr>
            <w:r>
              <w:rPr>
                <w:rFonts w:ascii="Calibri" w:hAnsi="Calibri" w:eastAsia="等线" w:cs="Calibri"/>
                <w:bCs/>
                <w:color w:val="008000"/>
                <w:sz w:val="18"/>
              </w:rPr>
              <w:t xml:space="preserve">Introduce stage 2 descriptions of failure type definition for inter-system inter-RAT HO from NR to E-UTRA for voice fallback. </w:t>
            </w:r>
          </w:p>
          <w:p>
            <w:pPr>
              <w:rPr>
                <w:rFonts w:ascii="Calibri" w:hAnsi="Calibri" w:eastAsia="等线" w:cs="Calibri"/>
                <w:bCs/>
                <w:color w:val="008000"/>
                <w:sz w:val="18"/>
              </w:rPr>
            </w:pPr>
            <w:r>
              <w:rPr>
                <w:rFonts w:ascii="Calibri" w:hAnsi="Calibri" w:eastAsia="等线" w:cs="Calibri"/>
                <w:bCs/>
                <w:color w:val="008000"/>
                <w:sz w:val="18"/>
              </w:rPr>
              <w:t>Turn the WA into an agreement: The RLF Report needs to indicate that the last failed inter-system inter-RAT HO was triggered due to voice fallback.</w:t>
            </w:r>
          </w:p>
          <w:p>
            <w:pPr>
              <w:rPr>
                <w:rFonts w:hint="eastAsia" w:ascii="Calibri" w:hAnsi="Calibri" w:cs="Calibri"/>
                <w:bCs/>
                <w:color w:val="008000"/>
                <w:sz w:val="18"/>
                <w:highlight w:val="none"/>
              </w:rPr>
            </w:pPr>
            <w:r>
              <w:rPr>
                <w:rFonts w:hint="eastAsia" w:ascii="Calibri" w:hAnsi="Calibri" w:cs="Calibri"/>
                <w:bCs/>
                <w:color w:val="008000"/>
                <w:sz w:val="18"/>
                <w:highlight w:val="none"/>
              </w:rPr>
              <w:t>Stage-2 description of the detection mechanism will be introduced in TS 38.300 (based on </w:t>
            </w:r>
            <w:r>
              <w:rPr>
                <w:highlight w:val="none"/>
              </w:rPr>
              <w:fldChar w:fldCharType="begin"/>
            </w:r>
            <w:r>
              <w:rPr>
                <w:highlight w:val="none"/>
              </w:rPr>
              <w:instrText xml:space="preserve"> HYPERLINK "file:///C:\\Users\\cmcc\\AppData\\Local\\Microsoft\\Windows\\INetCache\\Content.Outlook\\Z49L12MO\\Inbox\\R3-231585.zip" </w:instrText>
            </w:r>
            <w:r>
              <w:rPr>
                <w:highlight w:val="none"/>
              </w:rPr>
              <w:fldChar w:fldCharType="separate"/>
            </w:r>
            <w:r>
              <w:rPr>
                <w:rFonts w:hint="eastAsia" w:ascii="Calibri" w:hAnsi="Calibri" w:cs="Calibri"/>
                <w:bCs/>
                <w:color w:val="008000"/>
                <w:sz w:val="18"/>
                <w:highlight w:val="none"/>
              </w:rPr>
              <w:t>R3-231585</w:t>
            </w:r>
            <w:r>
              <w:rPr>
                <w:rFonts w:hint="eastAsia" w:ascii="Calibri" w:hAnsi="Calibri" w:cs="Calibri"/>
                <w:bCs/>
                <w:color w:val="008000"/>
                <w:sz w:val="18"/>
                <w:highlight w:val="none"/>
              </w:rPr>
              <w:fldChar w:fldCharType="end"/>
            </w:r>
            <w:r>
              <w:rPr>
                <w:highlight w:val="none"/>
              </w:rPr>
              <w:fldChar w:fldCharType="begin"/>
            </w:r>
            <w:r>
              <w:rPr>
                <w:highlight w:val="none"/>
              </w:rPr>
              <w:instrText xml:space="preserve"> HYPERLINK "javascript:void(0);" \t "_blank" </w:instrText>
            </w:r>
            <w:r>
              <w:rPr>
                <w:highlight w:val="none"/>
              </w:rPr>
              <w:fldChar w:fldCharType="separate"/>
            </w:r>
            <w:r>
              <w:rPr>
                <w:highlight w:val="none"/>
              </w:rPr>
              <w:fldChar w:fldCharType="end"/>
            </w:r>
            <w:r>
              <w:rPr>
                <w:rFonts w:hint="eastAsia" w:ascii="Calibri" w:hAnsi="Calibri" w:cs="Calibri"/>
                <w:bCs/>
                <w:color w:val="008000"/>
                <w:sz w:val="18"/>
                <w:highlight w:val="none"/>
              </w:rPr>
              <w:t>).</w:t>
            </w:r>
          </w:p>
          <w:p>
            <w:pPr>
              <w:rPr>
                <w:rFonts w:hint="eastAsia" w:ascii="Calibri" w:hAnsi="Calibri" w:cs="Calibri"/>
                <w:bCs/>
                <w:color w:val="008000"/>
                <w:sz w:val="18"/>
                <w:highlight w:val="none"/>
                <w:lang w:eastAsia="zh-CN"/>
              </w:rPr>
            </w:pPr>
            <w:r>
              <w:rPr>
                <w:rFonts w:hint="eastAsia" w:ascii="Calibri" w:hAnsi="Calibri" w:cs="Calibri"/>
                <w:bCs/>
                <w:color w:val="008000"/>
                <w:sz w:val="18"/>
                <w:highlight w:val="none"/>
              </w:rPr>
              <w:t>WA: Define a new handover report type in the Inter-system HO Report over S1 and 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vAlign w:val="center"/>
          </w:tcPr>
          <w:p>
            <w:pPr>
              <w:widowControl w:val="0"/>
              <w:spacing w:after="180"/>
              <w:ind w:left="200" w:leftChars="100"/>
              <w:rPr>
                <w:sz w:val="18"/>
              </w:rPr>
            </w:pPr>
            <w:r>
              <w:rPr>
                <w:rFonts w:hint="eastAsia"/>
                <w:sz w:val="18"/>
              </w:rPr>
              <w:t>&gt;</w:t>
            </w:r>
            <w:r>
              <w:rPr>
                <w:sz w:val="18"/>
              </w:rPr>
              <w:t>MRO for MR-DC SCG failure</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eastAsia="等线" w:cs="Calibri"/>
                <w:bCs/>
                <w:color w:val="008000"/>
                <w:sz w:val="18"/>
              </w:rPr>
            </w:pPr>
            <w:r>
              <w:rPr>
                <w:rFonts w:ascii="Calibri" w:hAnsi="Calibri" w:eastAsia="等线" w:cs="Calibri"/>
                <w:bCs/>
                <w:color w:val="008000"/>
                <w:sz w:val="18"/>
              </w:rPr>
              <w:t>Support MRO for SCG failure in EN-DC, NGEN-DC and NE-DC scenarios.</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TS37.340 as baseline for NE-DC SCG failure, and necessary updates can be added on top of it if needed.</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TS38.300 as baseline for NE-DC SCG failure, and necessary updates can be added on top of it if needed.</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TS37.340 as baseline for NGEN-DC SCG failure, and necessary updates can be added on top of it if needed.</w:t>
            </w:r>
          </w:p>
          <w:p>
            <w:pPr>
              <w:rPr>
                <w:rFonts w:ascii="Calibri" w:hAnsi="Calibri" w:eastAsia="等线" w:cs="Calibri"/>
                <w:bCs/>
                <w:color w:val="008000"/>
                <w:sz w:val="18"/>
                <w:lang w:eastAsia="zh-CN"/>
              </w:rPr>
            </w:pPr>
            <w:r>
              <w:rPr>
                <w:rFonts w:ascii="Calibri" w:hAnsi="Calibri" w:eastAsia="等线" w:cs="Calibri"/>
                <w:bCs/>
                <w:color w:val="008000"/>
                <w:sz w:val="18"/>
              </w:rPr>
              <w:t>Take Stage 2 descriptions of PSCell change failure in TS37.340 as baseline for EN-DC SCG failure, and necessary updates can be added on top of it if needed.</w:t>
            </w:r>
          </w:p>
          <w:p>
            <w:pPr>
              <w:rPr>
                <w:rFonts w:ascii="Calibri" w:hAnsi="Calibri" w:eastAsia="等线" w:cs="Calibri"/>
                <w:bCs/>
                <w:color w:val="008000"/>
                <w:sz w:val="18"/>
                <w:lang w:eastAsia="zh-CN"/>
              </w:rPr>
            </w:pPr>
            <w:r>
              <w:rPr>
                <w:rFonts w:ascii="Calibri" w:hAnsi="Calibri" w:eastAsia="等线" w:cs="Calibri"/>
                <w:bCs/>
                <w:color w:val="008000"/>
                <w:sz w:val="18"/>
              </w:rPr>
              <w:t>For MRO for MR-DC SCG failure, deprioritize dual failure case (i.e. both MCG failure and SCG failure occur).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9"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&gt;</w:t>
            </w:r>
            <w:r>
              <w:rPr>
                <w:rFonts w:ascii="Times New Roman" w:hAnsi="Times New Roman" w:eastAsiaTheme="minorEastAsia"/>
                <w:bCs/>
                <w:iCs/>
                <w:szCs w:val="21"/>
                <w:lang w:eastAsia="zh-CN"/>
              </w:rPr>
              <w:t>RACH enhancements</w:t>
            </w:r>
          </w:p>
          <w:p>
            <w:pPr>
              <w:widowControl w:val="0"/>
              <w:spacing w:after="180"/>
              <w:ind w:left="200" w:leftChars="100"/>
              <w:rPr>
                <w:b/>
                <w:sz w:val="18"/>
              </w:rPr>
            </w:pP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6" w:lineRule="auto"/>
              <w:ind w:left="0"/>
              <w:rPr>
                <w:rFonts w:ascii="Calibri" w:hAnsi="Calibri" w:cs="Calibri"/>
                <w:color w:val="008000"/>
                <w:sz w:val="18"/>
                <w:szCs w:val="18"/>
              </w:rPr>
            </w:pPr>
            <w:r>
              <w:rPr>
                <w:rFonts w:hint="eastAsia" w:ascii="Calibri" w:hAnsi="Calibri" w:cs="Calibri"/>
                <w:color w:val="008000"/>
                <w:sz w:val="18"/>
                <w:szCs w:val="18"/>
              </w:rPr>
              <w:t>Scenarios</w:t>
            </w:r>
          </w:p>
          <w:p>
            <w:pPr>
              <w:pStyle w:val="81"/>
              <w:numPr>
                <w:ilvl w:val="0"/>
                <w:numId w:val="13"/>
              </w:numPr>
              <w:spacing w:after="120" w:line="256" w:lineRule="auto"/>
              <w:rPr>
                <w:rFonts w:ascii="Calibri" w:hAnsi="Calibri" w:cs="Calibri"/>
                <w:color w:val="008000"/>
                <w:sz w:val="18"/>
                <w:szCs w:val="18"/>
              </w:rPr>
            </w:pPr>
            <w:r>
              <w:rPr>
                <w:rFonts w:ascii="Calibri" w:hAnsi="Calibri" w:cs="Calibri"/>
                <w:color w:val="008000"/>
                <w:sz w:val="18"/>
                <w:szCs w:val="18"/>
              </w:rPr>
              <w:t>RACH optimization for feature or feature combinations involving RACH partitioning (SDT, RedCap, Coverage Enhancement, network slicing, …)</w:t>
            </w:r>
          </w:p>
          <w:p>
            <w:pPr>
              <w:pStyle w:val="81"/>
              <w:numPr>
                <w:ilvl w:val="0"/>
                <w:numId w:val="13"/>
              </w:numPr>
              <w:spacing w:after="120" w:line="256" w:lineRule="auto"/>
              <w:rPr>
                <w:rFonts w:ascii="Calibri" w:hAnsi="Calibri" w:cs="Calibri"/>
                <w:color w:val="008000"/>
                <w:sz w:val="18"/>
                <w:szCs w:val="18"/>
              </w:rPr>
            </w:pPr>
            <w:r>
              <w:rPr>
                <w:rFonts w:ascii="Calibri" w:hAnsi="Calibri" w:cs="Calibri"/>
                <w:color w:val="008000"/>
                <w:sz w:val="18"/>
                <w:szCs w:val="18"/>
              </w:rPr>
              <w:t>RACH report retrieval</w:t>
            </w:r>
          </w:p>
          <w:p>
            <w:pPr>
              <w:pStyle w:val="81"/>
              <w:numPr>
                <w:ilvl w:val="0"/>
                <w:numId w:val="13"/>
              </w:numPr>
              <w:spacing w:after="120" w:line="256" w:lineRule="auto"/>
              <w:rPr>
                <w:rFonts w:ascii="Calibri" w:hAnsi="Calibri" w:cs="Calibri"/>
                <w:color w:val="008000"/>
                <w:sz w:val="18"/>
                <w:szCs w:val="18"/>
              </w:rPr>
            </w:pPr>
            <w:r>
              <w:rPr>
                <w:rFonts w:ascii="Calibri" w:hAnsi="Calibri" w:cs="Calibri"/>
                <w:color w:val="008000"/>
                <w:sz w:val="18"/>
                <w:szCs w:val="18"/>
              </w:rPr>
              <w:t>SN RACH report in MR-DC</w:t>
            </w:r>
          </w:p>
          <w:p>
            <w:pPr>
              <w:pStyle w:val="81"/>
              <w:spacing w:after="120" w:line="256" w:lineRule="auto"/>
              <w:rPr>
                <w:rFonts w:ascii="Calibri" w:hAnsi="Calibri" w:cs="Calibri"/>
                <w:color w:val="008000"/>
                <w:sz w:val="18"/>
                <w:szCs w:val="18"/>
              </w:rPr>
            </w:pPr>
          </w:p>
          <w:p>
            <w:pPr>
              <w:pStyle w:val="81"/>
              <w:spacing w:after="120" w:line="256" w:lineRule="auto"/>
              <w:ind w:left="0"/>
              <w:rPr>
                <w:rFonts w:ascii="Calibri" w:hAnsi="Calibri" w:cs="Calibri"/>
                <w:color w:val="008000"/>
                <w:sz w:val="18"/>
                <w:szCs w:val="18"/>
                <w:u w:val="single"/>
              </w:rPr>
            </w:pPr>
            <w:r>
              <w:rPr>
                <w:rFonts w:hint="eastAsia" w:ascii="Calibri" w:hAnsi="Calibri" w:cs="Calibri"/>
                <w:color w:val="008000"/>
                <w:sz w:val="18"/>
                <w:szCs w:val="18"/>
                <w:u w:val="single"/>
              </w:rPr>
              <w:t>RACH report retrieval:</w:t>
            </w:r>
          </w:p>
          <w:p>
            <w:pPr>
              <w:numPr>
                <w:ilvl w:val="0"/>
                <w:numId w:val="14"/>
              </w:numPr>
              <w:overflowPunct/>
              <w:autoSpaceDE/>
              <w:adjustRightInd/>
              <w:spacing w:before="100" w:beforeAutospacing="1" w:after="240"/>
              <w:textAlignment w:val="auto"/>
              <w:rPr>
                <w:rFonts w:ascii="Calibri" w:hAnsi="Calibri" w:cs="Calibri"/>
                <w:color w:val="008000"/>
                <w:sz w:val="18"/>
                <w:szCs w:val="18"/>
              </w:rPr>
            </w:pPr>
            <w:r>
              <w:rPr>
                <w:rFonts w:ascii="Calibri" w:hAnsi="Calibri" w:cs="Calibri"/>
                <w:color w:val="008000"/>
                <w:sz w:val="18"/>
                <w:szCs w:val="18"/>
              </w:rPr>
              <w:t>WA: RAN3 works on the network based solution for RACH report retrieval, i.e., gNB-DU indicates to gNB-CU about RACH occurrence</w:t>
            </w:r>
          </w:p>
          <w:p>
            <w:pPr>
              <w:numPr>
                <w:ilvl w:val="0"/>
                <w:numId w:val="14"/>
              </w:numPr>
              <w:overflowPunct/>
              <w:autoSpaceDE/>
              <w:adjustRightInd/>
              <w:spacing w:before="100" w:beforeAutospacing="1" w:after="240"/>
              <w:textAlignment w:val="auto"/>
              <w:rPr>
                <w:rFonts w:ascii="Calibri" w:hAnsi="Calibri" w:cs="Calibri"/>
                <w:color w:val="008000"/>
                <w:sz w:val="18"/>
                <w:szCs w:val="18"/>
              </w:rPr>
            </w:pPr>
            <w:r>
              <w:rPr>
                <w:rFonts w:ascii="Calibri" w:hAnsi="Calibri" w:cs="Calibri"/>
                <w:color w:val="008000"/>
                <w:sz w:val="18"/>
                <w:szCs w:val="18"/>
              </w:rPr>
              <w:t xml:space="preserve">WA: SN should indicate the potential availability of RA report to the MN, MN can fetch the RA report and transfer it to SN. </w:t>
            </w:r>
          </w:p>
          <w:p>
            <w:pPr>
              <w:numPr>
                <w:ilvl w:val="0"/>
                <w:numId w:val="14"/>
              </w:numPr>
              <w:overflowPunct/>
              <w:autoSpaceDE/>
              <w:adjustRightInd/>
              <w:spacing w:before="100" w:beforeAutospacing="1" w:after="240"/>
              <w:textAlignment w:val="auto"/>
              <w:rPr>
                <w:rFonts w:ascii="Calibri" w:hAnsi="Calibri" w:cs="Calibri"/>
                <w:color w:val="008000"/>
                <w:sz w:val="18"/>
                <w:szCs w:val="18"/>
              </w:rPr>
            </w:pPr>
            <w:r>
              <w:rPr>
                <w:rFonts w:ascii="Calibri" w:hAnsi="Calibri" w:cs="Calibri"/>
                <w:color w:val="008000"/>
                <w:sz w:val="18"/>
                <w:szCs w:val="18"/>
              </w:rPr>
              <w:t>Send LS to RAN2 with RAN3 assumption and ask RAN2 to provide feedback on UE based solution</w:t>
            </w:r>
          </w:p>
          <w:p>
            <w:pPr>
              <w:rPr>
                <w:rFonts w:ascii="Calibri" w:hAnsi="Calibri" w:eastAsia="等线" w:cs="Calibri"/>
                <w:bCs/>
                <w:color w:val="008000"/>
                <w:sz w:val="18"/>
              </w:rPr>
            </w:pPr>
            <w:r>
              <w:rPr>
                <w:rFonts w:ascii="Calibri" w:hAnsi="Calibri" w:eastAsia="等线" w:cs="Calibri"/>
                <w:bCs/>
                <w:color w:val="008000"/>
                <w:sz w:val="18"/>
              </w:rPr>
              <w:t>RAN3 supports a network-based solution for RACH report retrieval over F1AP based on an indication from the gNB-DU to the gNB-CU of successful RACH procedures which are not known to the gNB-CU (e.g., when RACH is triggered due to beam failure recovery, no PUCCH resource available, UL sync issue)</w:t>
            </w:r>
          </w:p>
          <w:p>
            <w:pPr>
              <w:overflowPunct/>
              <w:autoSpaceDE/>
              <w:adjustRightInd/>
              <w:spacing w:before="100" w:beforeAutospacing="1" w:after="240"/>
              <w:textAlignment w:val="auto"/>
              <w:rPr>
                <w:rFonts w:hint="eastAsia" w:ascii="Calibri" w:hAnsi="Calibri" w:cs="Calibri" w:eastAsiaTheme="minorEastAsia"/>
                <w:bCs/>
                <w:color w:val="008000"/>
                <w:sz w:val="18"/>
                <w:lang w:eastAsia="zh-CN"/>
              </w:rPr>
            </w:pPr>
            <w:r>
              <w:rPr>
                <w:rFonts w:ascii="Calibri" w:hAnsi="Calibri" w:cs="Calibri"/>
                <w:bCs/>
                <w:color w:val="008000"/>
                <w:sz w:val="18"/>
              </w:rPr>
              <w:t>Define a new class-2 F1AP message (e.g., RACH INDICATION) to indicate certain RACH occurrence(s) from gNB-DU to gNB-CU</w:t>
            </w:r>
          </w:p>
          <w:p>
            <w:pPr>
              <w:overflowPunct/>
              <w:autoSpaceDE/>
              <w:adjustRightInd/>
              <w:spacing w:before="100" w:beforeAutospacing="1" w:after="240"/>
              <w:textAlignment w:val="auto"/>
              <w:rPr>
                <w:rFonts w:hint="eastAsia" w:ascii="Calibri" w:hAnsi="Calibri" w:cs="Calibri"/>
                <w:bCs/>
                <w:color w:val="auto"/>
                <w:sz w:val="18"/>
              </w:rPr>
            </w:pPr>
            <w:r>
              <w:rPr>
                <w:rFonts w:ascii="Calibri" w:hAnsi="Calibri" w:cs="Calibri"/>
                <w:bCs/>
                <w:color w:val="auto"/>
                <w:sz w:val="18"/>
              </w:rPr>
              <w:t>Rely LS on RACH enhancement for R18 SONMDT</w:t>
            </w:r>
          </w:p>
          <w:p>
            <w:pPr>
              <w:overflowPunct/>
              <w:autoSpaceDE/>
              <w:adjustRightInd/>
              <w:spacing w:before="100" w:beforeAutospacing="1" w:after="240"/>
              <w:textAlignment w:val="auto"/>
              <w:rPr>
                <w:rFonts w:ascii="Calibri" w:hAnsi="Calibri" w:cs="Calibri"/>
                <w:bCs/>
                <w:color w:val="008000"/>
                <w:sz w:val="18"/>
              </w:rPr>
            </w:pPr>
            <w:r>
              <w:rPr>
                <w:rFonts w:ascii="Calibri" w:hAnsi="Calibri" w:cs="Calibri"/>
                <w:bCs/>
                <w:color w:val="008000"/>
                <w:sz w:val="18"/>
              </w:rPr>
              <w:t>Only gNB-CU UE F1AP ID is included in the RACH INDICATION message.</w:t>
            </w:r>
          </w:p>
          <w:p>
            <w:pPr>
              <w:overflowPunct/>
              <w:autoSpaceDE/>
              <w:adjustRightInd/>
              <w:spacing w:before="100" w:beforeAutospacing="1" w:after="240"/>
              <w:textAlignment w:val="auto"/>
              <w:rPr>
                <w:rFonts w:ascii="Calibri" w:hAnsi="Calibri" w:cs="Calibri"/>
                <w:bCs/>
                <w:color w:val="008000"/>
                <w:sz w:val="18"/>
              </w:rPr>
            </w:pPr>
            <w:r>
              <w:rPr>
                <w:rFonts w:ascii="Calibri" w:hAnsi="Calibri" w:cs="Calibri"/>
                <w:bCs/>
                <w:color w:val="008000"/>
                <w:sz w:val="18"/>
              </w:rPr>
              <w:t>The Random Access Indication IE in the RACH INDICATION message is not needed.</w:t>
            </w:r>
          </w:p>
          <w:p>
            <w:pPr>
              <w:overflowPunct/>
              <w:autoSpaceDE/>
              <w:adjustRightInd/>
              <w:spacing w:before="100" w:beforeAutospacing="1" w:after="240"/>
              <w:textAlignment w:val="auto"/>
              <w:rPr>
                <w:rFonts w:hint="eastAsia" w:ascii="Calibri" w:hAnsi="Calibri" w:cs="Calibri"/>
                <w:bCs/>
                <w:color w:val="008000"/>
                <w:sz w:val="18"/>
                <w:lang w:eastAsia="zh-CN"/>
              </w:rPr>
            </w:pPr>
            <w:r>
              <w:rPr>
                <w:rFonts w:ascii="Calibri" w:hAnsi="Calibri" w:cs="Calibri"/>
                <w:bCs/>
                <w:color w:val="008000"/>
                <w:sz w:val="18"/>
              </w:rPr>
              <w:t>The criticality of the RACH indication list IE in the RACH INDICATION message is “reject”.</w:t>
            </w:r>
          </w:p>
          <w:p>
            <w:pPr>
              <w:overflowPunct/>
              <w:autoSpaceDE/>
              <w:adjustRightInd/>
              <w:spacing w:before="100" w:beforeAutospacing="1" w:after="240"/>
              <w:textAlignment w:val="auto"/>
              <w:rPr>
                <w:rFonts w:ascii="Calibri" w:hAnsi="Calibri" w:cs="Calibri"/>
                <w:bCs/>
                <w:color w:val="008000"/>
                <w:sz w:val="18"/>
              </w:rPr>
            </w:pPr>
            <w:r>
              <w:rPr>
                <w:rFonts w:ascii="Calibri" w:hAnsi="Calibri" w:cs="Calibri"/>
                <w:bCs/>
                <w:color w:val="008000"/>
                <w:sz w:val="18"/>
              </w:rPr>
              <w:t>To align the naming of RA report with RAN2 spec in TS 38.300, TS 38.401, TS 38.423 and TS 38.473.</w:t>
            </w:r>
          </w:p>
          <w:p>
            <w:pPr>
              <w:overflowPunct/>
              <w:autoSpaceDE/>
              <w:adjustRightInd/>
              <w:spacing w:before="100" w:beforeAutospacing="1" w:after="240"/>
              <w:textAlignment w:val="auto"/>
              <w:rPr>
                <w:rFonts w:hint="eastAsia" w:ascii="Calibri" w:hAnsi="Calibri" w:cs="Calibri"/>
                <w:bCs/>
                <w:color w:val="008000"/>
                <w:sz w:val="18"/>
                <w:lang w:eastAsia="zh-CN"/>
              </w:rPr>
            </w:pPr>
            <w:r>
              <w:rPr>
                <w:rFonts w:ascii="Calibri" w:hAnsi="Calibri" w:cs="Calibri"/>
                <w:bCs/>
                <w:color w:val="008000"/>
                <w:sz w:val="18"/>
              </w:rPr>
              <w:t xml:space="preserve">To use “RA report” in TS 38.300, TS 38.401, TS 38.423 and TS 38.473. </w:t>
            </w:r>
          </w:p>
          <w:p>
            <w:pPr>
              <w:pStyle w:val="81"/>
              <w:spacing w:after="120" w:line="256" w:lineRule="auto"/>
              <w:ind w:left="0"/>
              <w:rPr>
                <w:rFonts w:ascii="Calibri" w:hAnsi="Calibri" w:cs="Calibri"/>
                <w:color w:val="008000"/>
                <w:sz w:val="18"/>
                <w:szCs w:val="18"/>
                <w:u w:val="single"/>
              </w:rPr>
            </w:pPr>
            <w:r>
              <w:rPr>
                <w:rFonts w:ascii="Calibri" w:hAnsi="Calibri" w:cs="Calibri"/>
                <w:color w:val="008000"/>
                <w:sz w:val="18"/>
                <w:szCs w:val="18"/>
                <w:u w:val="single"/>
              </w:rPr>
              <w:t>SN RACH report in MR-DC</w:t>
            </w:r>
          </w:p>
          <w:p>
            <w:pPr>
              <w:rPr>
                <w:rFonts w:ascii="Calibri" w:hAnsi="Calibri" w:cs="Calibri"/>
                <w:bCs/>
                <w:color w:val="008000"/>
                <w:sz w:val="18"/>
              </w:rPr>
            </w:pPr>
            <w:r>
              <w:rPr>
                <w:rFonts w:ascii="Calibri" w:hAnsi="Calibri" w:cs="Calibri"/>
                <w:bCs/>
                <w:color w:val="008000"/>
                <w:sz w:val="18"/>
              </w:rPr>
              <w:t>RAN3 has supported EN-DC, (NG)EN-DC, and NR-DC scenarios in Rel-17. No further work will be triggered in RAN3.</w:t>
            </w:r>
          </w:p>
          <w:p>
            <w:pPr>
              <w:rPr>
                <w:rFonts w:ascii="Calibri" w:hAnsi="Calibri" w:cs="Calibri"/>
                <w:bCs/>
                <w:color w:val="008000"/>
                <w:sz w:val="18"/>
              </w:rPr>
            </w:pPr>
            <w:r>
              <w:rPr>
                <w:rFonts w:ascii="Calibri" w:hAnsi="Calibri" w:cs="Calibri"/>
                <w:bCs/>
                <w:color w:val="008000"/>
                <w:sz w:val="18"/>
              </w:rPr>
              <w:t>If RAN2 decides to support SN RA Report for EN-DC and (NG)EN-DC, UE should report the PScell identity outside the RACH report to help the network forward the report to the correct node.</w:t>
            </w:r>
          </w:p>
          <w:p>
            <w:pPr>
              <w:rPr>
                <w:rFonts w:hint="eastAsia" w:ascii="Calibri" w:hAnsi="Calibri" w:cs="Calibri"/>
                <w:bCs/>
                <w:color w:val="008000"/>
                <w:sz w:val="18"/>
                <w:highlight w:val="none"/>
              </w:rPr>
            </w:pPr>
            <w:r>
              <w:rPr>
                <w:rFonts w:hint="eastAsia" w:ascii="Calibri" w:hAnsi="Calibri" w:cs="Calibri"/>
                <w:bCs/>
                <w:color w:val="008000"/>
                <w:sz w:val="18"/>
                <w:highlight w:val="none"/>
              </w:rPr>
              <w:t>Not consider the NG and S1 forwarding of RA report.</w:t>
            </w:r>
          </w:p>
          <w:p>
            <w:pPr>
              <w:rPr>
                <w:rFonts w:ascii="Calibri" w:hAnsi="Calibri" w:cs="Calibri"/>
                <w:bCs/>
                <w:color w:val="008000"/>
                <w:sz w:val="18"/>
                <w:highlight w:val="none"/>
              </w:rPr>
            </w:pPr>
            <w:r>
              <w:rPr>
                <w:rFonts w:hint="eastAsia" w:ascii="Calibri" w:hAnsi="Calibri" w:cs="Calibri"/>
                <w:bCs/>
                <w:color w:val="008000"/>
                <w:sz w:val="18"/>
                <w:highlight w:val="none"/>
              </w:rPr>
              <w:t>Include the “PSCell list” optionally in addition to the “RACH Report Container” in ACCESS AND MOBILITY INDICATION over Xn.</w:t>
            </w:r>
          </w:p>
          <w:p>
            <w:pPr>
              <w:pStyle w:val="81"/>
              <w:spacing w:after="120" w:line="256" w:lineRule="auto"/>
              <w:ind w:left="0"/>
              <w:rPr>
                <w:rFonts w:ascii="Calibri" w:hAnsi="Calibri" w:cs="Calibri"/>
                <w:sz w:val="18"/>
                <w:szCs w:val="18"/>
                <w:lang w:val="en-GB"/>
              </w:rPr>
            </w:pPr>
            <w:r>
              <w:rPr>
                <w:rFonts w:hint="eastAsia" w:ascii="Calibri" w:hAnsi="Calibri" w:cs="Calibri"/>
                <w:sz w:val="18"/>
                <w:szCs w:val="18"/>
                <w:lang w:val="en-GB"/>
              </w:rPr>
              <w:t xml:space="preserve">Reply LS to RAN2 on </w:t>
            </w:r>
            <w:r>
              <w:rPr>
                <w:rFonts w:ascii="Calibri" w:hAnsi="Calibri" w:cs="Calibri"/>
                <w:sz w:val="18"/>
                <w:szCs w:val="18"/>
              </w:rPr>
              <w:t>SN RACH report in MR-DC</w:t>
            </w:r>
            <w:r>
              <w:rPr>
                <w:rFonts w:hint="eastAsia" w:ascii="Calibri" w:hAnsi="Calibri" w:cs="Calibri"/>
                <w:sz w:val="18"/>
                <w:szCs w:val="18"/>
              </w:rPr>
              <w:t xml:space="preserve"> is agreed</w:t>
            </w:r>
          </w:p>
          <w:p>
            <w:pPr>
              <w:pStyle w:val="81"/>
              <w:spacing w:after="120" w:line="256" w:lineRule="auto"/>
              <w:ind w:left="0"/>
              <w:rPr>
                <w:rFonts w:ascii="Calibri" w:hAnsi="Calibri" w:cs="Calibri"/>
                <w:color w:val="008000"/>
                <w:sz w:val="18"/>
                <w:szCs w:val="18"/>
                <w:u w:val="single"/>
              </w:rPr>
            </w:pPr>
          </w:p>
          <w:p>
            <w:pPr>
              <w:pStyle w:val="81"/>
              <w:spacing w:after="120" w:line="256" w:lineRule="auto"/>
              <w:ind w:left="0"/>
              <w:rPr>
                <w:rFonts w:ascii="Calibri" w:hAnsi="Calibri" w:cs="Calibri"/>
                <w:color w:val="008000"/>
                <w:sz w:val="18"/>
                <w:szCs w:val="18"/>
                <w:u w:val="single"/>
              </w:rPr>
            </w:pPr>
            <w:r>
              <w:rPr>
                <w:rFonts w:ascii="Calibri" w:hAnsi="Calibri" w:cs="Calibri"/>
                <w:color w:val="008000"/>
                <w:sz w:val="18"/>
                <w:szCs w:val="18"/>
                <w:u w:val="single"/>
              </w:rPr>
              <w:t>RACH optimization for feature or feature combinations</w:t>
            </w:r>
          </w:p>
          <w:p>
            <w:pPr>
              <w:pStyle w:val="81"/>
              <w:spacing w:after="120" w:line="256" w:lineRule="auto"/>
              <w:ind w:left="0"/>
              <w:rPr>
                <w:rFonts w:ascii="Calibri" w:hAnsi="Calibri" w:cs="Calibri"/>
                <w:bCs/>
                <w:color w:val="008000"/>
                <w:sz w:val="18"/>
              </w:rPr>
            </w:pPr>
            <w:r>
              <w:rPr>
                <w:rFonts w:ascii="Calibri" w:hAnsi="Calibri" w:cs="Calibri"/>
                <w:bCs/>
                <w:color w:val="008000"/>
                <w:sz w:val="18"/>
              </w:rPr>
              <w:t>RA report is enhanced to include feature combination related information</w:t>
            </w:r>
            <w:r>
              <w:rPr>
                <w:rFonts w:hint="eastAsia" w:ascii="Calibri" w:hAnsi="Calibri" w:cs="Calibri"/>
                <w:bCs/>
                <w:color w:val="008000"/>
                <w:sz w:val="18"/>
              </w:rPr>
              <w:t>.</w:t>
            </w:r>
          </w:p>
          <w:p>
            <w:pPr>
              <w:pStyle w:val="81"/>
              <w:spacing w:after="120" w:line="256" w:lineRule="auto"/>
              <w:ind w:left="0"/>
              <w:rPr>
                <w:rFonts w:ascii="Calibri" w:hAnsi="Calibri" w:cs="Calibri"/>
                <w:color w:val="008000"/>
                <w:sz w:val="18"/>
                <w:szCs w:val="18"/>
                <w:u w:val="single"/>
              </w:rPr>
            </w:pPr>
          </w:p>
          <w:p>
            <w:pPr>
              <w:rPr>
                <w:rFonts w:ascii="Calibri" w:hAnsi="Calibri" w:eastAsia="等线" w:cs="Calibri"/>
                <w:bCs/>
                <w:color w:val="008000"/>
                <w:sz w:val="18"/>
              </w:rPr>
            </w:pPr>
            <w:r>
              <w:rPr>
                <w:rFonts w:ascii="Calibri" w:hAnsi="Calibri" w:eastAsia="等线" w:cs="Calibri"/>
                <w:bCs/>
                <w:color w:val="008000"/>
                <w:sz w:val="18"/>
              </w:rPr>
              <w:t>SN should indicate the potential availability of RA report to the MN, MN can fetch the RA report and transfer it to SN</w:t>
            </w:r>
          </w:p>
          <w:p>
            <w:pPr>
              <w:rPr>
                <w:rFonts w:ascii="Calibri" w:hAnsi="Calibri" w:eastAsia="等线" w:cs="Calibri"/>
                <w:bCs/>
                <w:color w:val="008000"/>
                <w:sz w:val="18"/>
              </w:rPr>
            </w:pPr>
            <w:r>
              <w:rPr>
                <w:rFonts w:ascii="Calibri" w:hAnsi="Calibri" w:eastAsia="等线" w:cs="Calibri"/>
                <w:bCs/>
                <w:color w:val="008000"/>
                <w:sz w:val="18"/>
              </w:rPr>
              <w:t>Define a new class-2 message (e.g., RACH INDICATION) over Xn so that the S-NG-RAN can inform M-NG-RAN that one or more RACH reports are available at the UE.</w:t>
            </w:r>
          </w:p>
          <w:p>
            <w:pPr>
              <w:rPr>
                <w:rFonts w:ascii="Calibri" w:hAnsi="Calibri" w:eastAsia="等线" w:cs="Calibri"/>
                <w:bCs/>
                <w:color w:val="008000"/>
                <w:sz w:val="18"/>
              </w:rPr>
            </w:pPr>
            <w:r>
              <w:rPr>
                <w:rFonts w:ascii="Calibri" w:hAnsi="Calibri" w:eastAsia="等线" w:cs="Calibri"/>
                <w:bCs/>
                <w:color w:val="008000"/>
                <w:sz w:val="18"/>
              </w:rPr>
              <w:t>The new Xn message should be non-UE associated.</w:t>
            </w:r>
          </w:p>
          <w:p>
            <w:pPr>
              <w:rPr>
                <w:rFonts w:ascii="Calibri" w:hAnsi="Calibri" w:eastAsia="等线" w:cs="Calibri"/>
                <w:bCs/>
                <w:color w:val="008000"/>
                <w:sz w:val="18"/>
              </w:rPr>
            </w:pPr>
            <w:r>
              <w:rPr>
                <w:rFonts w:ascii="Calibri" w:hAnsi="Calibri" w:eastAsia="等线" w:cs="Calibri"/>
                <w:bCs/>
                <w:color w:val="008000"/>
                <w:sz w:val="18"/>
              </w:rPr>
              <w:t>XnAP and F1AP TPs</w:t>
            </w:r>
            <w:r>
              <w:rPr>
                <w:rFonts w:hint="eastAsia" w:ascii="Calibri" w:hAnsi="Calibri" w:eastAsia="等线" w:cs="Calibri"/>
                <w:bCs/>
                <w:color w:val="008000"/>
                <w:sz w:val="18"/>
                <w:lang w:eastAsia="zh-CN"/>
              </w:rPr>
              <w:t xml:space="preserve"> agreed</w:t>
            </w:r>
            <w:r>
              <w:rPr>
                <w:rFonts w:ascii="Calibri" w:hAnsi="Calibri" w:eastAsia="等线" w:cs="Calibri"/>
                <w:bCs/>
                <w:color w:val="008000"/>
                <w:sz w:val="18"/>
              </w:rPr>
              <w:t xml:space="preserve"> </w:t>
            </w:r>
          </w:p>
          <w:p>
            <w:pPr>
              <w:rPr>
                <w:rFonts w:hint="eastAsia" w:ascii="Calibri" w:hAnsi="Calibri" w:eastAsia="等线" w:cs="Calibri"/>
                <w:bCs/>
                <w:color w:val="008000"/>
                <w:sz w:val="18"/>
                <w:lang w:eastAsia="zh-CN"/>
              </w:rPr>
            </w:pPr>
            <w:r>
              <w:rPr>
                <w:rFonts w:hint="eastAsia" w:ascii="Calibri" w:hAnsi="Calibri" w:eastAsia="等线" w:cs="Calibri"/>
                <w:bCs/>
                <w:color w:val="008000"/>
                <w:sz w:val="18"/>
              </w:rPr>
              <w:t>U</w:t>
            </w:r>
            <w:r>
              <w:rPr>
                <w:rFonts w:ascii="Calibri" w:hAnsi="Calibri" w:eastAsia="等线" w:cs="Calibri"/>
                <w:bCs/>
                <w:color w:val="008000"/>
                <w:sz w:val="18"/>
              </w:rPr>
              <w:t>sing non-UE associated sigalling for RACH Indication over 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8"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b/>
                <w:sz w:val="18"/>
              </w:rPr>
            </w:pPr>
            <w:r>
              <w:rPr>
                <w:rFonts w:hint="eastAsia"/>
                <w:b/>
                <w:sz w:val="18"/>
              </w:rPr>
              <w:t>&gt;</w:t>
            </w:r>
            <w:r>
              <w:rPr>
                <w:rFonts w:ascii="Times New Roman" w:hAnsi="Times New Roman" w:eastAsiaTheme="minorEastAsia"/>
                <w:bCs/>
                <w:iCs/>
                <w:szCs w:val="21"/>
                <w:lang w:eastAsia="zh-CN"/>
              </w:rPr>
              <w:t>SON/MDT enhancements for Non-Public Networks</w:t>
            </w: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 xml:space="preserve">support of Signaling based MDT and Management based MDT for NPNs </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support both immediate MDT and logged MDT for NPN</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user consent handling for NPNs, in particular SNPNs</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area scope for NPNs</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support of NPNs in RLF Report and other UE reports used for SON and MDT</w:t>
            </w:r>
          </w:p>
          <w:p>
            <w:pPr>
              <w:pStyle w:val="81"/>
              <w:spacing w:after="120" w:line="254" w:lineRule="auto"/>
              <w:ind w:left="0"/>
              <w:rPr>
                <w:rFonts w:ascii="Calibri" w:hAnsi="Calibri" w:cs="Calibri"/>
                <w:color w:val="008000"/>
                <w:sz w:val="18"/>
                <w:szCs w:val="18"/>
              </w:rPr>
            </w:pPr>
          </w:p>
          <w:p>
            <w:pPr>
              <w:rPr>
                <w:rFonts w:ascii="Calibri" w:hAnsi="Calibri" w:cs="Calibri"/>
                <w:bCs/>
                <w:color w:val="008000"/>
                <w:sz w:val="18"/>
              </w:rPr>
            </w:pPr>
            <w:r>
              <w:rPr>
                <w:rFonts w:ascii="Calibri" w:hAnsi="Calibri" w:cs="Calibri"/>
                <w:bCs/>
                <w:color w:val="008000"/>
                <w:sz w:val="18"/>
              </w:rPr>
              <w:t>RAN3 sends an LS to SA3 (cc SA5, RAN2) for user consent of NPN including the following aspects:</w:t>
            </w:r>
          </w:p>
          <w:p>
            <w:pPr>
              <w:rPr>
                <w:rFonts w:ascii="Calibri" w:hAnsi="Calibri" w:cs="Calibri"/>
                <w:bCs/>
                <w:color w:val="008000"/>
                <w:sz w:val="18"/>
              </w:rPr>
            </w:pPr>
            <w:r>
              <w:rPr>
                <w:rFonts w:ascii="Calibri" w:hAnsi="Calibri" w:cs="Calibri"/>
                <w:bCs/>
                <w:color w:val="008000"/>
                <w:sz w:val="18"/>
              </w:rPr>
              <w:t>1: For PNI-NPN, whether existing user consent for management-based MDT (i.e., Management Based MDT PLMN List IE) can also apply for MDT in PNI-NPNs (no need of CAG-ID in user consent).</w:t>
            </w:r>
          </w:p>
          <w:p>
            <w:pPr>
              <w:rPr>
                <w:rFonts w:ascii="Calibri" w:hAnsi="Calibri" w:cs="Calibri" w:eastAsiaTheme="minorEastAsia"/>
                <w:bCs/>
                <w:color w:val="008000"/>
                <w:sz w:val="18"/>
                <w:lang w:eastAsia="zh-CN"/>
              </w:rPr>
            </w:pPr>
            <w:r>
              <w:rPr>
                <w:rFonts w:ascii="Calibri" w:hAnsi="Calibri" w:cs="Calibri"/>
                <w:bCs/>
                <w:color w:val="008000"/>
                <w:sz w:val="18"/>
              </w:rPr>
              <w:t>2: For SNPN, whether user consent for SNPN should include a list of SNPNs (PLMNs + NIDs) where management based MDT is allowed to take place.</w:t>
            </w:r>
          </w:p>
          <w:p>
            <w:pPr>
              <w:rPr>
                <w:rFonts w:ascii="Calibri" w:hAnsi="Calibri" w:cs="Calibri"/>
                <w:bCs/>
                <w:color w:val="008000"/>
                <w:sz w:val="18"/>
              </w:rPr>
            </w:pPr>
            <w:r>
              <w:rPr>
                <w:rFonts w:ascii="Calibri" w:hAnsi="Calibri" w:cs="Calibri"/>
                <w:bCs/>
                <w:color w:val="008000"/>
                <w:sz w:val="18"/>
              </w:rPr>
              <w:t>Introduce a CAG list for MDT area scope.</w:t>
            </w:r>
          </w:p>
          <w:p>
            <w:pPr>
              <w:rPr>
                <w:rFonts w:ascii="Calibri" w:hAnsi="Calibri" w:cs="Calibri" w:eastAsiaTheme="minorEastAsia"/>
                <w:bCs/>
                <w:sz w:val="18"/>
                <w:lang w:eastAsia="zh-CN"/>
              </w:rPr>
            </w:pPr>
            <w:r>
              <w:rPr>
                <w:rFonts w:hint="eastAsia" w:ascii="Calibri" w:hAnsi="Calibri" w:cs="Calibri" w:eastAsiaTheme="minorEastAsia"/>
                <w:bCs/>
                <w:sz w:val="18"/>
                <w:lang w:eastAsia="zh-CN"/>
              </w:rPr>
              <w:t>LS to SA3 on user consent for NPN is agreed</w:t>
            </w:r>
          </w:p>
          <w:p>
            <w:pPr>
              <w:rPr>
                <w:rFonts w:ascii="Calibri" w:hAnsi="Calibri" w:eastAsia="等线" w:cs="Calibri"/>
                <w:bCs/>
                <w:color w:val="008000"/>
                <w:sz w:val="18"/>
                <w:szCs w:val="24"/>
              </w:rPr>
            </w:pPr>
            <w:r>
              <w:rPr>
                <w:rFonts w:ascii="Calibri" w:hAnsi="Calibri" w:cs="Calibri"/>
                <w:bCs/>
                <w:color w:val="008000"/>
                <w:sz w:val="18"/>
                <w:szCs w:val="24"/>
              </w:rPr>
              <w:t>Wait SA3's response for NPN user consent to check if any RAN3 impact</w:t>
            </w:r>
            <w:r>
              <w:rPr>
                <w:rFonts w:hint="eastAsia" w:ascii="Calibri" w:hAnsi="Calibri" w:eastAsia="等线" w:cs="Calibri"/>
                <w:bCs/>
                <w:color w:val="008000"/>
                <w:sz w:val="18"/>
                <w:szCs w:val="24"/>
              </w:rPr>
              <w:t>.</w:t>
            </w:r>
          </w:p>
          <w:p>
            <w:pPr>
              <w:rPr>
                <w:rFonts w:ascii="Calibri" w:hAnsi="Calibri" w:cs="Calibri"/>
                <w:bCs/>
                <w:color w:val="008000"/>
                <w:sz w:val="18"/>
                <w:szCs w:val="24"/>
              </w:rPr>
            </w:pPr>
            <w:r>
              <w:rPr>
                <w:rFonts w:ascii="Calibri" w:hAnsi="Calibri" w:cs="Calibri"/>
                <w:bCs/>
                <w:color w:val="008000"/>
                <w:sz w:val="18"/>
                <w:szCs w:val="24"/>
              </w:rPr>
              <w:t>The use cases RAN3 should support are:</w:t>
            </w:r>
          </w:p>
          <w:p>
            <w:pPr>
              <w:rPr>
                <w:rFonts w:ascii="Calibri" w:hAnsi="Calibri" w:cs="Calibri"/>
                <w:bCs/>
                <w:color w:val="008000"/>
                <w:sz w:val="18"/>
                <w:szCs w:val="24"/>
              </w:rPr>
            </w:pPr>
            <w:r>
              <w:rPr>
                <w:rFonts w:ascii="Calibri" w:hAnsi="Calibri" w:cs="Calibri"/>
                <w:bCs/>
                <w:color w:val="008000"/>
                <w:sz w:val="18"/>
                <w:szCs w:val="24"/>
              </w:rPr>
              <w:t xml:space="preserve">Use Case 1: Enhanced area scope information should allow collection of MDT measurements in specific PNI-NPNs, i.e. MDT measurements should be collected only within specific CAGs. </w:t>
            </w:r>
          </w:p>
          <w:p>
            <w:pPr>
              <w:rPr>
                <w:rFonts w:ascii="Calibri" w:hAnsi="Calibri" w:cs="Calibri"/>
                <w:bCs/>
                <w:color w:val="008000"/>
                <w:sz w:val="18"/>
                <w:szCs w:val="24"/>
              </w:rPr>
            </w:pPr>
            <w:r>
              <w:rPr>
                <w:rFonts w:ascii="Calibri" w:hAnsi="Calibri" w:cs="Calibri"/>
                <w:bCs/>
                <w:color w:val="008000"/>
                <w:sz w:val="18"/>
                <w:szCs w:val="24"/>
              </w:rPr>
              <w:t xml:space="preserve">Use Case 2: Enhanced area scope information should allow collection of MDT measurements both in specific PNI-NPNs (i.e. in specific CAGs) and in public network areas (e.g. specific PN cells, TAIs, etc.). </w:t>
            </w:r>
          </w:p>
          <w:p>
            <w:pPr>
              <w:rPr>
                <w:rFonts w:ascii="Calibri" w:hAnsi="Calibri" w:cs="Calibri"/>
                <w:bCs/>
                <w:color w:val="008000"/>
                <w:sz w:val="18"/>
              </w:rPr>
            </w:pPr>
            <w:r>
              <w:rPr>
                <w:rFonts w:ascii="Calibri" w:hAnsi="Calibri" w:cs="Calibri"/>
                <w:bCs/>
                <w:color w:val="008000"/>
                <w:sz w:val="18"/>
              </w:rPr>
              <w:t>Agree to the addition of a CAG list inside and outside the current choice structure for the MDT Area Scope. Further enhancements are FFS</w:t>
            </w:r>
          </w:p>
          <w:p>
            <w:pPr>
              <w:rPr>
                <w:rFonts w:ascii="Calibri" w:hAnsi="Calibri" w:cs="Calibri"/>
                <w:bCs/>
                <w:color w:val="008000"/>
                <w:sz w:val="18"/>
                <w:szCs w:val="18"/>
              </w:rPr>
            </w:pPr>
            <w:r>
              <w:rPr>
                <w:rFonts w:ascii="Calibri" w:hAnsi="Calibri" w:cs="Calibri"/>
                <w:bCs/>
                <w:color w:val="008000"/>
                <w:sz w:val="18"/>
                <w:szCs w:val="18"/>
              </w:rPr>
              <w:t>RAN3 to focus on the following use case for SNPN and to continue discussions on how to address MDT Area Scope for specific cells or TAs of an SNPN:</w:t>
            </w:r>
          </w:p>
          <w:p>
            <w:pPr>
              <w:rPr>
                <w:rFonts w:ascii="Calibri" w:hAnsi="Calibri" w:cs="Calibri"/>
                <w:bCs/>
                <w:color w:val="008000"/>
                <w:sz w:val="18"/>
                <w:szCs w:val="18"/>
              </w:rPr>
            </w:pPr>
            <w:r>
              <w:rPr>
                <w:rFonts w:ascii="Calibri" w:hAnsi="Calibri" w:cs="Calibri"/>
                <w:bCs/>
                <w:color w:val="008000"/>
                <w:sz w:val="18"/>
                <w:szCs w:val="18"/>
              </w:rPr>
              <w:t xml:space="preserve">Use Case 3: Enable collection of MDT measurements in the SNPN where the UE is registered. </w:t>
            </w:r>
          </w:p>
          <w:p>
            <w:pPr>
              <w:rPr>
                <w:rFonts w:ascii="Calibri" w:hAnsi="Calibri" w:cs="Calibri"/>
                <w:bCs/>
                <w:color w:val="008000"/>
                <w:sz w:val="18"/>
                <w:szCs w:val="18"/>
              </w:rPr>
            </w:pPr>
            <w:r>
              <w:rPr>
                <w:rFonts w:hint="eastAsia" w:ascii="Calibri" w:hAnsi="Calibri" w:cs="Calibri"/>
                <w:bCs/>
                <w:color w:val="008000"/>
                <w:sz w:val="18"/>
                <w:szCs w:val="18"/>
              </w:rPr>
              <w:t>Wait for SA3 LS on</w:t>
            </w:r>
            <w:r>
              <w:rPr>
                <w:rFonts w:ascii="Calibri" w:hAnsi="Calibri" w:cs="Calibri"/>
                <w:bCs/>
                <w:color w:val="008000"/>
                <w:sz w:val="18"/>
                <w:szCs w:val="18"/>
              </w:rPr>
              <w:t xml:space="preserve"> MDT user consent for NPN.</w:t>
            </w:r>
          </w:p>
          <w:p>
            <w:pPr>
              <w:rPr>
                <w:rFonts w:ascii="Calibri" w:hAnsi="Calibri" w:cs="Calibri"/>
                <w:bCs/>
                <w:color w:val="008000"/>
                <w:sz w:val="18"/>
                <w:highlight w:val="none"/>
              </w:rPr>
            </w:pPr>
            <w:r>
              <w:rPr>
                <w:rFonts w:hint="eastAsia" w:ascii="Calibri" w:hAnsi="Calibri" w:cs="Calibri"/>
                <w:bCs/>
                <w:color w:val="008000"/>
                <w:sz w:val="18"/>
                <w:highlight w:val="none"/>
              </w:rPr>
              <w:t>How to introduce NID or PNI-NPN ID into SON/MDT reports depends on RAN2’s decision.</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It is up to configuration and operator’s policies whether PN and NPN information can be included in the UE History Information. </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Set the range of maxnoofCAGforMDT to 256</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Add separate SNPN Cell Based MDT and SNPN TAI Based MDT area scope</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No need to introduce user consent of SNPN over interfaces.</w:t>
            </w:r>
          </w:p>
          <w:p>
            <w:pPr>
              <w:rPr>
                <w:rFonts w:ascii="Calibri" w:hAnsi="Calibri" w:cs="Calibri"/>
                <w:bCs/>
                <w:color w:val="008000"/>
                <w:sz w:val="18"/>
                <w:szCs w:val="18"/>
                <w:lang w:eastAsia="zh-CN"/>
              </w:rPr>
            </w:pPr>
            <w:r>
              <w:rPr>
                <w:rFonts w:hint="eastAsia" w:ascii="Calibri" w:hAnsi="Calibri" w:cs="Calibri"/>
                <w:bCs/>
                <w:color w:val="008000"/>
                <w:sz w:val="18"/>
                <w:szCs w:val="18"/>
                <w:highlight w:val="none"/>
                <w:lang w:eastAsia="zh-CN"/>
              </w:rPr>
              <w:t>Add multi-SNPN MDT area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3"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b/>
                <w:sz w:val="18"/>
              </w:rPr>
            </w:pPr>
            <w:r>
              <w:rPr>
                <w:rFonts w:hint="eastAsia"/>
                <w:b/>
                <w:sz w:val="18"/>
              </w:rPr>
              <w:t>&gt;</w:t>
            </w:r>
            <w:r>
              <w:rPr>
                <w:rFonts w:ascii="Times New Roman" w:hAnsi="Times New Roman" w:eastAsiaTheme="minorEastAsia"/>
                <w:bCs/>
                <w:iCs/>
                <w:szCs w:val="21"/>
                <w:lang w:eastAsia="zh-CN"/>
              </w:rPr>
              <w:t xml:space="preserve">SON/MDT enhancements for </w:t>
            </w:r>
            <w:r>
              <w:rPr>
                <w:rFonts w:hint="eastAsia" w:ascii="Times New Roman" w:hAnsi="Times New Roman" w:eastAsiaTheme="minorEastAsia"/>
                <w:bCs/>
                <w:iCs/>
                <w:szCs w:val="21"/>
                <w:lang w:eastAsia="zh-CN"/>
              </w:rPr>
              <w:t>NR-U</w:t>
            </w: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4" w:lineRule="auto"/>
              <w:ind w:left="0"/>
              <w:rPr>
                <w:rFonts w:ascii="Calibri" w:hAnsi="Calibri" w:cs="Calibri"/>
                <w:color w:val="008000"/>
                <w:sz w:val="18"/>
                <w:szCs w:val="18"/>
                <w:u w:val="single"/>
              </w:rPr>
            </w:pPr>
            <w:r>
              <w:rPr>
                <w:rFonts w:ascii="Calibri" w:hAnsi="Calibri" w:cs="Calibri"/>
                <w:color w:val="008000"/>
                <w:sz w:val="18"/>
                <w:szCs w:val="18"/>
                <w:u w:val="single"/>
              </w:rPr>
              <w:t>NR-U for MRO</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Add to RLF report indications concerning Measured RSSI and HOF due to consistent LBT failure.</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Send an LS to RAN2 requesting:</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to support latest Measured RSSI and Indication of HOF due to consistent LBT failure in RLF report</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to support “Indication of consistent LBT failure” in RA report</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Keep existing failure type definition and detection to indicate RLF or HOF or PSCell change failure due to consistent LBT failure.</w:t>
            </w:r>
          </w:p>
          <w:p>
            <w:pPr>
              <w:pStyle w:val="81"/>
              <w:spacing w:after="120" w:line="254" w:lineRule="auto"/>
              <w:ind w:left="400" w:leftChars="200"/>
              <w:rPr>
                <w:rFonts w:ascii="Calibri" w:hAnsi="Calibri" w:cs="Calibri"/>
                <w:color w:val="008000"/>
                <w:sz w:val="18"/>
                <w:szCs w:val="18"/>
              </w:rPr>
            </w:pPr>
          </w:p>
          <w:p>
            <w:pPr>
              <w:pStyle w:val="81"/>
              <w:spacing w:after="120" w:line="254" w:lineRule="auto"/>
              <w:ind w:left="0"/>
              <w:rPr>
                <w:rFonts w:ascii="Calibri" w:hAnsi="Calibri" w:cs="Calibri"/>
                <w:color w:val="000000"/>
                <w:sz w:val="18"/>
                <w:szCs w:val="18"/>
              </w:rPr>
            </w:pPr>
            <w:r>
              <w:rPr>
                <w:rFonts w:ascii="Calibri" w:hAnsi="Calibri" w:cs="Calibri"/>
                <w:color w:val="000000"/>
                <w:sz w:val="18"/>
                <w:szCs w:val="18"/>
                <w:lang w:eastAsia="en-US"/>
              </w:rPr>
              <w:t xml:space="preserve">LS </w:t>
            </w:r>
            <w:r>
              <w:rPr>
                <w:rFonts w:hint="eastAsia" w:ascii="Calibri" w:hAnsi="Calibri" w:cs="Calibri"/>
                <w:color w:val="000000"/>
                <w:sz w:val="18"/>
                <w:szCs w:val="18"/>
              </w:rPr>
              <w:t>to RAN2 on NR-U support for MRO</w:t>
            </w:r>
          </w:p>
          <w:p>
            <w:pPr>
              <w:rPr>
                <w:rFonts w:ascii="Calibri" w:hAnsi="Calibri" w:cs="Calibri"/>
                <w:bCs/>
                <w:color w:val="008000"/>
                <w:sz w:val="18"/>
                <w:highlight w:val="none"/>
              </w:rPr>
            </w:pPr>
            <w:r>
              <w:rPr>
                <w:rFonts w:hint="eastAsia" w:ascii="Calibri" w:hAnsi="Calibri" w:cs="Calibri"/>
                <w:bCs/>
                <w:color w:val="008000"/>
                <w:sz w:val="18"/>
                <w:highlight w:val="none"/>
              </w:rPr>
              <w:t>Enhancements of RLF reports and RA reports are beneficial to separate mobility related errors from the LBT-related ones.</w:t>
            </w:r>
          </w:p>
          <w:p>
            <w:pPr>
              <w:rPr>
                <w:rFonts w:hint="eastAsia" w:ascii="Calibri" w:hAnsi="Calibri" w:cs="Calibri"/>
                <w:bCs/>
                <w:color w:val="008000"/>
                <w:sz w:val="18"/>
                <w:highlight w:val="none"/>
              </w:rPr>
            </w:pPr>
            <w:r>
              <w:rPr>
                <w:rFonts w:hint="eastAsia" w:ascii="Calibri" w:hAnsi="Calibri" w:cs="Calibri"/>
                <w:bCs/>
                <w:color w:val="008000"/>
                <w:sz w:val="18"/>
                <w:highlight w:val="none"/>
              </w:rPr>
              <w:t>RLF Report and RA report can be enhanced to include information concerning the LBT failures in RA procedures, the granularity and implementation details needs to be further discussed based on progress in RAN2.</w:t>
            </w:r>
          </w:p>
          <w:p>
            <w:pPr>
              <w:rPr>
                <w:rFonts w:hint="eastAsia" w:ascii="Calibri" w:hAnsi="Calibri" w:cs="Calibri"/>
                <w:bCs/>
                <w:color w:val="008000"/>
                <w:sz w:val="18"/>
                <w:highlight w:val="yellow"/>
                <w:lang w:val="en-US" w:eastAsia="zh-CN"/>
              </w:rPr>
            </w:pPr>
            <w:r>
              <w:rPr>
                <w:rFonts w:hint="eastAsia" w:ascii="Calibri" w:hAnsi="Calibri" w:cs="Calibri"/>
                <w:bCs/>
                <w:color w:val="008000"/>
                <w:sz w:val="18"/>
                <w:highlight w:val="none"/>
                <w:lang w:val="en-US" w:eastAsia="zh-CN"/>
              </w:rPr>
              <w:t>There is no need for the UE to report the average of the applied EDT UL in RLF report.</w:t>
            </w:r>
          </w:p>
          <w:p>
            <w:pPr>
              <w:rPr>
                <w:rFonts w:hint="eastAsia" w:ascii="Calibri" w:hAnsi="Calibri" w:cs="Calibri"/>
                <w:bCs/>
                <w:color w:val="008000"/>
                <w:sz w:val="18"/>
                <w:highlight w:val="none"/>
              </w:rPr>
            </w:pPr>
          </w:p>
          <w:p>
            <w:pPr>
              <w:pStyle w:val="81"/>
              <w:spacing w:beforeLines="100" w:beforeAutospacing="0" w:after="240"/>
              <w:ind w:left="0"/>
              <w:rPr>
                <w:rFonts w:ascii="Calibri" w:hAnsi="Calibri" w:cs="Calibri"/>
                <w:color w:val="008000"/>
                <w:sz w:val="18"/>
                <w:szCs w:val="18"/>
                <w:u w:val="single"/>
              </w:rPr>
            </w:pPr>
            <w:r>
              <w:rPr>
                <w:rFonts w:ascii="Calibri" w:hAnsi="Calibri" w:cs="Calibri"/>
                <w:color w:val="008000"/>
                <w:sz w:val="18"/>
                <w:szCs w:val="18"/>
                <w:u w:val="single"/>
              </w:rPr>
              <w:t>NR-U for MLB</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 xml:space="preserve">Exchange over Xn of Energy Detection Threshold for UL, and Channel Occupancy Time in UL is supported. </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Rename existing Energy Detection Threshold IE in F1AP and XnAP , and the details to be discussed in CB8.</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Add indications of consistent LBT failures in RA report.</w:t>
            </w:r>
          </w:p>
          <w:p>
            <w:pPr>
              <w:pStyle w:val="81"/>
              <w:spacing w:after="120" w:line="254" w:lineRule="auto"/>
              <w:ind w:left="0"/>
              <w:rPr>
                <w:rFonts w:ascii="Calibri" w:hAnsi="Calibri" w:cs="Calibri"/>
                <w:color w:val="008000"/>
                <w:sz w:val="18"/>
                <w:szCs w:val="18"/>
              </w:rPr>
            </w:pPr>
          </w:p>
          <w:p>
            <w:pPr>
              <w:rPr>
                <w:rFonts w:ascii="Calibri" w:hAnsi="Calibri" w:eastAsia="宋体" w:cs="Calibri"/>
                <w:bCs/>
                <w:color w:val="008000"/>
                <w:sz w:val="18"/>
              </w:rPr>
            </w:pPr>
            <w:r>
              <w:rPr>
                <w:rFonts w:ascii="Calibri" w:hAnsi="Calibri" w:cs="Calibri"/>
                <w:bCs/>
                <w:color w:val="008000"/>
                <w:sz w:val="18"/>
              </w:rPr>
              <w:t xml:space="preserve">For XnAP, add in the RESOURCE STATUS UPDATE message a </w:t>
            </w:r>
            <w:r>
              <w:rPr>
                <w:rFonts w:ascii="Calibri" w:hAnsi="Calibri" w:cs="Calibri"/>
                <w:bCs/>
                <w:i/>
                <w:iCs/>
                <w:color w:val="008000"/>
                <w:sz w:val="18"/>
              </w:rPr>
              <w:t>Channel Occupancy Time Percentage UL</w:t>
            </w:r>
            <w:r>
              <w:rPr>
                <w:rFonts w:ascii="Calibri" w:hAnsi="Calibri" w:cs="Calibri"/>
                <w:bCs/>
                <w:color w:val="008000"/>
                <w:sz w:val="18"/>
              </w:rPr>
              <w:t xml:space="preserve"> IE and an </w:t>
            </w:r>
            <w:r>
              <w:rPr>
                <w:rFonts w:ascii="Calibri" w:hAnsi="Calibri" w:cs="Calibri"/>
                <w:bCs/>
                <w:i/>
                <w:iCs/>
                <w:color w:val="008000"/>
                <w:sz w:val="18"/>
              </w:rPr>
              <w:t>Energy Detection Threshold UL</w:t>
            </w:r>
            <w:r>
              <w:rPr>
                <w:rFonts w:ascii="Calibri" w:hAnsi="Calibri" w:cs="Calibri"/>
                <w:bCs/>
                <w:color w:val="008000"/>
                <w:sz w:val="18"/>
              </w:rPr>
              <w:t xml:space="preserve"> IE as sub-IEs of </w:t>
            </w:r>
            <w:r>
              <w:rPr>
                <w:rFonts w:ascii="Calibri" w:hAnsi="Calibri" w:cs="Calibri"/>
                <w:bCs/>
                <w:i/>
                <w:iCs/>
                <w:color w:val="008000"/>
                <w:sz w:val="18"/>
              </w:rPr>
              <w:t>NR-U Channel Item</w:t>
            </w:r>
            <w:r>
              <w:rPr>
                <w:rFonts w:ascii="Calibri" w:hAnsi="Calibri" w:cs="Calibri"/>
                <w:bCs/>
                <w:color w:val="008000"/>
                <w:sz w:val="18"/>
              </w:rPr>
              <w:t xml:space="preserve"> IE. Corresponding TP is in R3-226040.</w:t>
            </w:r>
          </w:p>
          <w:p>
            <w:pPr>
              <w:rPr>
                <w:rFonts w:ascii="Calibri" w:hAnsi="Calibri" w:cs="Calibri"/>
                <w:bCs/>
                <w:color w:val="008000"/>
                <w:sz w:val="18"/>
              </w:rPr>
            </w:pPr>
            <w:r>
              <w:rPr>
                <w:rFonts w:ascii="Calibri" w:hAnsi="Calibri" w:cs="Calibri"/>
                <w:bCs/>
                <w:color w:val="008000"/>
                <w:sz w:val="18"/>
              </w:rPr>
              <w:t xml:space="preserve">Rename the existing </w:t>
            </w:r>
            <w:r>
              <w:rPr>
                <w:rFonts w:ascii="Calibri" w:hAnsi="Calibri" w:cs="Calibri"/>
                <w:bCs/>
                <w:i/>
                <w:iCs/>
                <w:color w:val="008000"/>
                <w:sz w:val="18"/>
              </w:rPr>
              <w:t>Channel occupancy time percentage DL</w:t>
            </w:r>
            <w:r>
              <w:rPr>
                <w:rFonts w:ascii="Calibri" w:hAnsi="Calibri" w:cs="Calibri"/>
                <w:bCs/>
                <w:color w:val="008000"/>
                <w:sz w:val="18"/>
              </w:rPr>
              <w:t xml:space="preserve"> IE as </w:t>
            </w:r>
            <w:r>
              <w:rPr>
                <w:rFonts w:ascii="Calibri" w:hAnsi="Calibri" w:cs="Calibri"/>
                <w:bCs/>
                <w:i/>
                <w:iCs/>
                <w:color w:val="008000"/>
                <w:sz w:val="18"/>
              </w:rPr>
              <w:t>Channel Occupancy Time Percentage DL</w:t>
            </w:r>
            <w:r>
              <w:rPr>
                <w:rFonts w:ascii="Calibri" w:hAnsi="Calibri" w:cs="Calibri"/>
                <w:bCs/>
                <w:color w:val="008000"/>
                <w:sz w:val="18"/>
              </w:rPr>
              <w:t xml:space="preserve"> both in F1AP and XnAP from R17.</w:t>
            </w:r>
          </w:p>
          <w:p>
            <w:pPr>
              <w:rPr>
                <w:rFonts w:ascii="Calibri" w:hAnsi="Calibri" w:eastAsia="宋体" w:cs="Calibri"/>
                <w:color w:val="000000"/>
                <w:sz w:val="18"/>
                <w:szCs w:val="18"/>
                <w:lang w:val="en-US"/>
              </w:rPr>
            </w:pPr>
            <w:r>
              <w:rPr>
                <w:rFonts w:ascii="Calibri" w:hAnsi="Calibri" w:eastAsia="宋体" w:cs="Calibri"/>
                <w:color w:val="000000"/>
                <w:sz w:val="18"/>
                <w:szCs w:val="18"/>
                <w:lang w:val="en-US"/>
              </w:rPr>
              <w:t xml:space="preserve">Reply LS in </w:t>
            </w:r>
            <w:r>
              <w:fldChar w:fldCharType="begin"/>
            </w:r>
            <w:r>
              <w:instrText xml:space="preserve"> HYPERLINK "file:///C:\\Users\\cmcc\\Documents\\WeChat%20Files\\liangzai936046\\FileStorage\\File\\2022-11\\Inbox\\R3-226809.zip" </w:instrText>
            </w:r>
            <w:r>
              <w:fldChar w:fldCharType="separate"/>
            </w:r>
            <w:r>
              <w:rPr>
                <w:rFonts w:ascii="Calibri" w:hAnsi="Calibri" w:eastAsia="宋体" w:cs="Calibri"/>
                <w:color w:val="000000"/>
                <w:sz w:val="18"/>
                <w:szCs w:val="18"/>
                <w:lang w:val="en-US"/>
              </w:rPr>
              <w:t>R3-226809</w:t>
            </w:r>
            <w:r>
              <w:rPr>
                <w:rFonts w:ascii="Calibri" w:hAnsi="Calibri" w:eastAsia="宋体" w:cs="Calibri"/>
                <w:color w:val="000000"/>
                <w:sz w:val="18"/>
                <w:szCs w:val="18"/>
                <w:lang w:val="en-US"/>
              </w:rPr>
              <w:fldChar w:fldCharType="end"/>
            </w:r>
            <w:r>
              <w:rPr>
                <w:rFonts w:ascii="Calibri" w:hAnsi="Calibri" w:eastAsia="宋体" w:cs="Calibri"/>
                <w:color w:val="000000"/>
                <w:sz w:val="18"/>
                <w:szCs w:val="18"/>
                <w:lang w:val="en-US"/>
              </w:rPr>
              <w:t xml:space="preserve"> Agreed</w:t>
            </w:r>
          </w:p>
          <w:p>
            <w:pPr>
              <w:rPr>
                <w:rFonts w:ascii="Calibri" w:hAnsi="Calibri" w:cs="Calibri"/>
                <w:bCs/>
                <w:color w:val="008000"/>
                <w:sz w:val="18"/>
              </w:rPr>
            </w:pPr>
            <w:r>
              <w:rPr>
                <w:rFonts w:hint="eastAsia" w:ascii="Calibri" w:hAnsi="Calibri" w:cs="Calibri"/>
                <w:bCs/>
                <w:color w:val="008000"/>
                <w:sz w:val="18"/>
              </w:rPr>
              <w:t>D</w:t>
            </w:r>
            <w:r>
              <w:rPr>
                <w:rFonts w:ascii="Calibri" w:hAnsi="Calibri" w:cs="Calibri"/>
                <w:bCs/>
                <w:color w:val="008000"/>
                <w:sz w:val="18"/>
              </w:rPr>
              <w:t xml:space="preserve">U </w:t>
            </w:r>
            <w:r>
              <w:rPr>
                <w:rFonts w:hint="eastAsia" w:ascii="Calibri" w:hAnsi="Calibri" w:cs="Calibri"/>
                <w:bCs/>
                <w:color w:val="008000"/>
                <w:sz w:val="18"/>
              </w:rPr>
              <w:t>s</w:t>
            </w:r>
            <w:r>
              <w:rPr>
                <w:rFonts w:ascii="Calibri" w:hAnsi="Calibri" w:cs="Calibri"/>
                <w:bCs/>
                <w:color w:val="008000"/>
                <w:sz w:val="18"/>
              </w:rPr>
              <w:t>hall report the UL COT to CU in resource status report procedure when it is requested by CU, how to obtained this information by DU is up to implementation.</w:t>
            </w:r>
          </w:p>
          <w:p>
            <w:pPr>
              <w:rPr>
                <w:rFonts w:ascii="Calibri" w:hAnsi="Calibri" w:cs="Calibri"/>
                <w:bCs/>
                <w:color w:val="008000"/>
                <w:sz w:val="18"/>
              </w:rPr>
            </w:pPr>
            <w:r>
              <w:rPr>
                <w:rFonts w:ascii="Calibri" w:hAnsi="Calibri" w:cs="Calibri"/>
                <w:bCs/>
                <w:color w:val="008000"/>
                <w:sz w:val="18"/>
              </w:rPr>
              <w:t>The granularity of UL COT reporting in F1 interface should be NR-U channel level.</w:t>
            </w:r>
          </w:p>
          <w:p>
            <w:pPr>
              <w:rPr>
                <w:rFonts w:ascii="Calibri" w:hAnsi="Calibri" w:cs="Calibri"/>
                <w:bCs/>
                <w:color w:val="008000"/>
                <w:sz w:val="18"/>
                <w:highlight w:val="none"/>
              </w:rPr>
            </w:pPr>
            <w:r>
              <w:rPr>
                <w:rFonts w:hint="eastAsia" w:ascii="Calibri" w:hAnsi="Calibri" w:cs="Calibri"/>
                <w:bCs/>
                <w:color w:val="008000"/>
                <w:sz w:val="18"/>
                <w:highlight w:val="none"/>
              </w:rPr>
              <w:t>WA: a gNB sends in resource status reporting via Xn an EDT UL that reflects at least the maximum EDT UL configured for the UEs.</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The presence of COT percentage UL in F1 is optional. </w:t>
            </w:r>
          </w:p>
          <w:p>
            <w:pPr>
              <w:rPr>
                <w:rFonts w:hint="eastAsia" w:ascii="Calibri" w:hAnsi="Calibri" w:cs="Calibri"/>
                <w:bCs/>
                <w:color w:val="008000"/>
                <w:sz w:val="18"/>
                <w:highlight w:val="none"/>
                <w:lang w:val="en-US" w:eastAsia="zh-CN"/>
              </w:rPr>
            </w:pPr>
            <w:r>
              <w:rPr>
                <w:rFonts w:hint="eastAsia" w:ascii="Calibri" w:hAnsi="Calibri" w:cs="Calibri"/>
                <w:bCs/>
                <w:color w:val="008000"/>
                <w:sz w:val="18"/>
                <w:highlight w:val="none"/>
                <w:lang w:val="en-US" w:eastAsia="zh-CN"/>
              </w:rPr>
              <w:t>The EDT in UL included in the XnAP RESOURCE STATUS UPDATE message reflects the average of the configured maximum EDT UL. TP for XnAP is in R3-233491.</w:t>
            </w:r>
          </w:p>
          <w:p>
            <w:pPr>
              <w:rPr>
                <w:rFonts w:hint="eastAsia" w:ascii="Calibri" w:hAnsi="Calibri" w:cs="Calibri"/>
                <w:bCs/>
                <w:color w:val="008000"/>
                <w:sz w:val="18"/>
                <w:highlight w:val="yellow"/>
                <w:lang w:val="en-US" w:eastAsia="zh-CN"/>
              </w:rPr>
            </w:pPr>
            <w:r>
              <w:rPr>
                <w:rFonts w:hint="eastAsia" w:ascii="Calibri" w:hAnsi="Calibri" w:cs="Calibri"/>
                <w:bCs/>
                <w:color w:val="008000"/>
                <w:sz w:val="18"/>
                <w:highlight w:val="none"/>
                <w:lang w:val="en-US" w:eastAsia="zh-CN"/>
              </w:rPr>
              <w:t>WA: introduce an optional load metric on Radio Resource Status per NR-U Channel in XnAP RESOURCE STATUS UPDATE message and in F1AP RESOURCE STATUS UPDATE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0" w:hRule="atLeast"/>
        </w:trPr>
        <w:tc>
          <w:tcPr>
            <w:tcW w:w="2943" w:type="dxa"/>
            <w:tcBorders>
              <w:top w:val="single" w:color="auto" w:sz="4" w:space="0"/>
              <w:left w:val="single" w:color="auto" w:sz="4" w:space="0"/>
              <w:bottom w:val="single" w:color="auto" w:sz="4" w:space="0"/>
              <w:right w:val="single" w:color="auto" w:sz="4" w:space="0"/>
            </w:tcBorders>
            <w:vAlign w:val="center"/>
          </w:tcPr>
          <w:p>
            <w:pPr>
              <w:widowControl w:val="0"/>
              <w:spacing w:after="0"/>
              <w:rPr>
                <w:rFonts w:eastAsiaTheme="minorEastAsia"/>
                <w:b/>
                <w:sz w:val="18"/>
                <w:lang w:eastAsia="zh-CN"/>
              </w:rPr>
            </w:pPr>
            <w:r>
              <w:rPr>
                <w:rFonts w:hint="eastAsia"/>
                <w:sz w:val="18"/>
              </w:rPr>
              <w:t>&gt;Signalling MDT overide protection</w:t>
            </w:r>
          </w:p>
        </w:tc>
        <w:tc>
          <w:tcPr>
            <w:tcW w:w="6914" w:type="dxa"/>
            <w:tcBorders>
              <w:top w:val="single" w:color="auto" w:sz="4" w:space="0"/>
              <w:left w:val="single" w:color="auto" w:sz="4" w:space="0"/>
              <w:bottom w:val="single" w:color="auto" w:sz="4" w:space="0"/>
              <w:right w:val="single" w:color="auto" w:sz="4" w:space="0"/>
            </w:tcBorders>
          </w:tcPr>
          <w:p>
            <w:pPr>
              <w:widowControl w:val="0"/>
              <w:spacing w:after="0"/>
              <w:rPr>
                <w:rFonts w:ascii="Calibri" w:hAnsi="Calibri" w:eastAsia="TimesNewRomanPSMT" w:cs="Calibri"/>
                <w:color w:val="008000"/>
                <w:sz w:val="18"/>
                <w:szCs w:val="18"/>
              </w:rPr>
            </w:pPr>
            <w:r>
              <w:rPr>
                <w:rFonts w:ascii="Calibri" w:hAnsi="Calibri" w:eastAsia="TimesNewRomanPSMT" w:cs="Calibri"/>
                <w:color w:val="008000"/>
                <w:sz w:val="18"/>
                <w:szCs w:val="18"/>
              </w:rPr>
              <w:t>It is RAN3’s understanding that the Rel-17 feature of signaling based logged MDT override protection applies only during Intra-NR reselection and applies to Intra-5GS (gNB</w:t>
            </w:r>
            <w:r>
              <w:rPr>
                <w:rFonts w:hint="eastAsia" w:ascii="Calibri" w:hAnsi="Calibri" w:eastAsia="TimesNewRomanPSMT" w:cs="Calibri"/>
                <w:color w:val="008000"/>
                <w:sz w:val="18"/>
                <w:szCs w:val="18"/>
              </w:rPr>
              <w:t>–</w:t>
            </w:r>
            <w:r>
              <w:rPr>
                <w:rFonts w:ascii="Calibri" w:hAnsi="Calibri" w:eastAsia="TimesNewRomanPSMT" w:cs="Calibri"/>
                <w:color w:val="008000"/>
                <w:sz w:val="18"/>
                <w:szCs w:val="18"/>
              </w:rPr>
              <w:t>&gt;gNB).</w:t>
            </w:r>
          </w:p>
          <w:p>
            <w:pPr>
              <w:widowControl w:val="0"/>
              <w:spacing w:after="0"/>
              <w:rPr>
                <w:rFonts w:ascii="Calibri" w:hAnsi="Calibri" w:eastAsia="TimesNewRomanPSMT" w:cs="Calibri"/>
                <w:color w:val="008000"/>
                <w:sz w:val="18"/>
                <w:szCs w:val="18"/>
                <w:lang w:eastAsia="zh-CN"/>
              </w:rPr>
            </w:pPr>
          </w:p>
          <w:p>
            <w:pPr>
              <w:widowControl w:val="0"/>
              <w:spacing w:after="0"/>
              <w:rPr>
                <w:rFonts w:ascii="Calibri" w:hAnsi="Calibri" w:eastAsia="TimesNewRomanPSMT" w:cs="Calibri"/>
                <w:color w:val="008000"/>
                <w:sz w:val="18"/>
                <w:szCs w:val="18"/>
              </w:rPr>
            </w:pPr>
            <w:r>
              <w:rPr>
                <w:rFonts w:ascii="Calibri" w:hAnsi="Calibri" w:eastAsia="TimesNewRomanPSMT" w:cs="Calibri"/>
                <w:color w:val="008000"/>
                <w:sz w:val="18"/>
                <w:szCs w:val="18"/>
              </w:rPr>
              <w:t>Whether to support cross-RAT logged MDT reporting (i.e., whether the NR node needs to retrieve LTE logged MDT report) for signaling based logged MDT override protection is pending on RAN2 progress.</w:t>
            </w:r>
          </w:p>
          <w:p>
            <w:pPr>
              <w:widowControl w:val="0"/>
              <w:spacing w:after="0"/>
              <w:rPr>
                <w:rFonts w:ascii="Calibri" w:hAnsi="Calibri" w:eastAsia="TimesNewRomanPSMT" w:cs="Calibri"/>
                <w:color w:val="008000"/>
                <w:sz w:val="18"/>
                <w:szCs w:val="18"/>
              </w:rPr>
            </w:pPr>
          </w:p>
          <w:p>
            <w:pPr>
              <w:widowControl w:val="0"/>
              <w:spacing w:after="0"/>
              <w:rPr>
                <w:rFonts w:ascii="Calibri" w:hAnsi="Calibri" w:eastAsia="TimesNewRomanPSMT" w:cs="Calibri"/>
                <w:color w:val="008000"/>
                <w:sz w:val="18"/>
                <w:szCs w:val="18"/>
                <w:lang w:eastAsia="zh-CN"/>
              </w:rPr>
            </w:pPr>
            <w:r>
              <w:rPr>
                <w:rFonts w:ascii="Calibri" w:hAnsi="Calibri" w:eastAsia="TimesNewRomanPSMT" w:cs="Calibri"/>
                <w:color w:val="008000"/>
                <w:sz w:val="18"/>
                <w:szCs w:val="18"/>
              </w:rPr>
              <w:t>Wait for RAN2’s progress on cross-RAT logged MDT reporting before discussing whether any enhancements are needed for NG-RAN to forward the LTE logged MDT reports to the correct TCE.</w:t>
            </w:r>
          </w:p>
          <w:p>
            <w:pPr>
              <w:widowControl w:val="0"/>
              <w:ind w:left="144" w:hanging="144"/>
              <w:rPr>
                <w:rFonts w:ascii="Calibri" w:hAnsi="Calibri" w:cs="Calibri" w:eastAsiaTheme="minorEastAsia"/>
                <w:b/>
                <w:color w:val="FF0000"/>
                <w:sz w:val="18"/>
                <w:szCs w:val="18"/>
                <w:lang w:eastAsia="zh-CN"/>
              </w:rPr>
            </w:pPr>
          </w:p>
          <w:p>
            <w:pPr>
              <w:widowControl w:val="0"/>
              <w:ind w:left="144" w:hanging="144"/>
              <w:rPr>
                <w:rFonts w:ascii="Calibri" w:hAnsi="Calibri" w:cs="Calibri"/>
                <w:b/>
                <w:color w:val="FF0000"/>
                <w:sz w:val="18"/>
                <w:szCs w:val="18"/>
              </w:rPr>
            </w:pPr>
            <w:r>
              <w:rPr>
                <w:rFonts w:ascii="Calibri" w:hAnsi="Calibri" w:cs="Calibri"/>
                <w:b/>
                <w:color w:val="FF0000"/>
                <w:sz w:val="18"/>
                <w:szCs w:val="18"/>
              </w:rPr>
              <w:t>RAN3 has the common understanding that according to the WI, only option 1 (inter-system inter-RAT) is included.</w:t>
            </w:r>
          </w:p>
          <w:p>
            <w:pPr>
              <w:widowControl w:val="0"/>
              <w:spacing w:after="0"/>
              <w:rPr>
                <w:rFonts w:ascii="Calibri" w:hAnsi="Calibri" w:cs="Calibri"/>
                <w:b/>
                <w:color w:val="008000"/>
                <w:sz w:val="18"/>
                <w:szCs w:val="18"/>
              </w:rPr>
            </w:pPr>
            <w:r>
              <w:rPr>
                <w:rFonts w:ascii="Calibri" w:hAnsi="Calibri" w:cs="Calibri"/>
                <w:b/>
                <w:color w:val="008000"/>
                <w:sz w:val="18"/>
                <w:szCs w:val="18"/>
              </w:rPr>
              <w:t>No need to send LS to RAN2 for supporting the reverse use case.</w:t>
            </w:r>
          </w:p>
          <w:p>
            <w:pPr>
              <w:widowControl w:val="0"/>
              <w:spacing w:after="0"/>
              <w:rPr>
                <w:rFonts w:ascii="Calibri" w:hAnsi="Calibri" w:cs="Calibri"/>
                <w:b/>
                <w:color w:val="008000"/>
                <w:sz w:val="18"/>
                <w:szCs w:val="18"/>
              </w:rPr>
            </w:pPr>
          </w:p>
          <w:p>
            <w:pPr>
              <w:rPr>
                <w:rFonts w:ascii="Calibri" w:hAnsi="Calibri" w:cs="Calibri"/>
                <w:bCs/>
                <w:color w:val="008000"/>
                <w:sz w:val="18"/>
                <w:highlight w:val="none"/>
              </w:rPr>
            </w:pPr>
            <w:r>
              <w:rPr>
                <w:rFonts w:hint="eastAsia" w:ascii="Calibri" w:hAnsi="Calibri" w:cs="Calibri"/>
                <w:bCs/>
                <w:color w:val="008000"/>
                <w:sz w:val="18"/>
                <w:highlight w:val="none"/>
              </w:rPr>
              <w:t xml:space="preserve">RAN3 confirms that the scenarios for inter-RAT signalling based logged MDT protection includes the following:  </w:t>
            </w:r>
          </w:p>
          <w:p>
            <w:pPr>
              <w:ind w:left="200" w:leftChars="100"/>
              <w:rPr>
                <w:rFonts w:ascii="Calibri" w:hAnsi="Calibri" w:cs="Calibri"/>
                <w:bCs/>
                <w:color w:val="008000"/>
                <w:sz w:val="18"/>
                <w:highlight w:val="none"/>
              </w:rPr>
            </w:pPr>
            <w:r>
              <w:rPr>
                <w:rFonts w:hint="eastAsia" w:ascii="Calibri" w:hAnsi="Calibri" w:cs="Calibri"/>
                <w:bCs/>
                <w:color w:val="008000"/>
                <w:sz w:val="18"/>
                <w:highlight w:val="none"/>
              </w:rPr>
              <w:t>Scenario 1: Inter-system inter-RAT: EPC –&gt; 5GC</w:t>
            </w:r>
          </w:p>
          <w:p>
            <w:pPr>
              <w:ind w:left="200" w:leftChars="100"/>
              <w:rPr>
                <w:rFonts w:ascii="Calibri" w:hAnsi="Calibri" w:cs="Calibri"/>
                <w:bCs/>
                <w:color w:val="008000"/>
                <w:sz w:val="18"/>
                <w:highlight w:val="none"/>
              </w:rPr>
            </w:pPr>
            <w:r>
              <w:rPr>
                <w:rFonts w:hint="eastAsia" w:ascii="Calibri" w:hAnsi="Calibri" w:cs="Calibri"/>
                <w:bCs/>
                <w:color w:val="008000"/>
                <w:sz w:val="18"/>
                <w:highlight w:val="none"/>
              </w:rPr>
              <w:t>Scenario 2: Intra-system Inter-RAT and intra-5GC: LTE –&gt; NR</w:t>
            </w:r>
          </w:p>
          <w:p>
            <w:pPr>
              <w:widowControl w:val="0"/>
              <w:spacing w:after="0"/>
              <w:rPr>
                <w:rFonts w:hint="eastAsia" w:ascii="Calibri" w:hAnsi="Calibri" w:cs="Calibri"/>
                <w:b/>
                <w:iCs/>
                <w:color w:val="FF0000"/>
                <w:kern w:val="2"/>
                <w:sz w:val="16"/>
                <w:szCs w:val="16"/>
              </w:rPr>
            </w:pPr>
            <w:r>
              <w:rPr>
                <w:rFonts w:ascii="Calibri" w:hAnsi="Calibri" w:cs="Calibri"/>
                <w:b/>
                <w:iCs/>
                <w:color w:val="FF0000"/>
                <w:kern w:val="2"/>
                <w:sz w:val="16"/>
                <w:szCs w:val="16"/>
              </w:rPr>
              <w:t xml:space="preserve">RAN3 confirms that </w:t>
            </w:r>
            <w:r>
              <w:rPr>
                <w:rFonts w:hint="eastAsia" w:ascii="Calibri" w:hAnsi="Calibri" w:cs="Calibri"/>
                <w:b/>
                <w:iCs/>
                <w:color w:val="FF0000"/>
                <w:kern w:val="2"/>
                <w:sz w:val="16"/>
                <w:szCs w:val="16"/>
              </w:rPr>
              <w:t>NR requested M-based logged MDT should never override LTE s-based logged MDT.</w:t>
            </w:r>
          </w:p>
          <w:p>
            <w:pPr>
              <w:widowControl w:val="0"/>
              <w:spacing w:after="0"/>
              <w:rPr>
                <w:rFonts w:hint="eastAsia" w:ascii="Calibri" w:hAnsi="Calibri" w:cs="Calibri"/>
                <w:b/>
                <w:iCs/>
                <w:color w:val="FF0000"/>
                <w:kern w:val="2"/>
                <w:sz w:val="16"/>
                <w:szCs w:val="16"/>
                <w:lang w:eastAsia="zh-CN"/>
              </w:rPr>
            </w:pPr>
            <w:r>
              <w:rPr>
                <w:rFonts w:hint="eastAsia" w:ascii="Calibri" w:hAnsi="Calibri" w:cs="Calibri"/>
                <w:bCs/>
                <w:color w:val="008000"/>
                <w:sz w:val="18"/>
                <w:highlight w:val="none"/>
              </w:rPr>
              <w:t>There is no requirement that NR signalling based logged MDT has a lower priority than E-UTRAN signalling based logged MDT.</w:t>
            </w:r>
          </w:p>
        </w:tc>
      </w:tr>
    </w:tbl>
    <w:p>
      <w:pPr>
        <w:rPr>
          <w:rFonts w:eastAsiaTheme="minorEastAsia"/>
          <w:lang w:eastAsia="zh-CN"/>
        </w:rPr>
      </w:pPr>
    </w:p>
    <w:p>
      <w:pPr>
        <w:pStyle w:val="3"/>
        <w:rPr>
          <w:lang w:val="en-US" w:eastAsia="zh-CN"/>
        </w:rPr>
      </w:pPr>
      <w:r>
        <w:rPr>
          <w:lang w:val="en-US" w:eastAsia="zh-CN"/>
        </w:rPr>
        <w:t xml:space="preserve">3.2 </w:t>
      </w:r>
      <w:r>
        <w:rPr>
          <w:rFonts w:hint="eastAsia"/>
          <w:lang w:val="en-US" w:eastAsia="zh-CN"/>
        </w:rPr>
        <w:t>Way forward for RAN3 #121 meeting</w:t>
      </w:r>
    </w:p>
    <w:p>
      <w:pPr>
        <w:jc w:val="both"/>
        <w:rPr>
          <w:rFonts w:ascii="Times New Roman" w:hAnsi="Times New Roman" w:eastAsiaTheme="minorEastAsia"/>
          <w:highlight w:val="none"/>
          <w:lang w:eastAsia="zh-CN"/>
        </w:rPr>
      </w:pPr>
      <w:r>
        <w:rPr>
          <w:rFonts w:hint="eastAsia" w:ascii="Times New Roman" w:hAnsi="Times New Roman" w:eastAsiaTheme="minorEastAsia"/>
          <w:lang w:eastAsia="zh-CN"/>
        </w:rPr>
        <w:t xml:space="preserve">According to the progress of RAN3 and RAN2 in August meeting, the </w:t>
      </w:r>
      <w:r>
        <w:rPr>
          <w:rFonts w:ascii="Times New Roman" w:hAnsi="Times New Roman" w:eastAsiaTheme="minorEastAsia"/>
          <w:lang w:eastAsia="zh-CN"/>
        </w:rPr>
        <w:t>following</w:t>
      </w:r>
      <w:r>
        <w:rPr>
          <w:rFonts w:hint="eastAsia" w:ascii="Times New Roman" w:hAnsi="Times New Roman" w:eastAsiaTheme="minorEastAsia"/>
          <w:lang w:eastAsia="zh-CN"/>
        </w:rPr>
        <w:t xml:space="preserve"> topics can be focused at</w:t>
      </w:r>
      <w:r>
        <w:rPr>
          <w:rFonts w:hint="eastAsia" w:ascii="Times New Roman" w:hAnsi="Times New Roman" w:eastAsiaTheme="minorEastAsia"/>
          <w:highlight w:val="none"/>
          <w:lang w:eastAsia="zh-CN"/>
        </w:rPr>
        <w:t xml:space="preserve"> RAN3#1</w:t>
      </w:r>
      <w:r>
        <w:rPr>
          <w:rFonts w:hint="eastAsia" w:ascii="Times New Roman" w:hAnsi="Times New Roman" w:eastAsiaTheme="minorEastAsia"/>
          <w:highlight w:val="none"/>
          <w:lang w:val="en-US" w:eastAsia="zh-CN"/>
        </w:rPr>
        <w:t>21</w:t>
      </w:r>
      <w:r>
        <w:rPr>
          <w:rFonts w:hint="eastAsia" w:ascii="Times New Roman" w:hAnsi="Times New Roman" w:eastAsiaTheme="minorEastAsia"/>
          <w:highlight w:val="none"/>
          <w:lang w:eastAsia="zh-CN"/>
        </w:rPr>
        <w:t xml:space="preserve"> meeting,</w:t>
      </w:r>
    </w:p>
    <w:p>
      <w:pPr>
        <w:pStyle w:val="61"/>
        <w:numPr>
          <w:ilvl w:val="0"/>
          <w:numId w:val="15"/>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I</w:t>
      </w:r>
      <w:r>
        <w:rPr>
          <w:rFonts w:hint="eastAsia" w:ascii="Times New Roman" w:hAnsi="Times New Roman" w:eastAsiaTheme="minorEastAsia"/>
          <w:sz w:val="20"/>
          <w:szCs w:val="20"/>
          <w:lang w:eastAsia="zh-CN"/>
        </w:rPr>
        <w:t xml:space="preserve">nter-RAT </w:t>
      </w:r>
      <w:r>
        <w:rPr>
          <w:rFonts w:ascii="Times New Roman" w:hAnsi="Times New Roman" w:eastAsiaTheme="minorEastAsia"/>
          <w:sz w:val="20"/>
          <w:szCs w:val="20"/>
          <w:lang w:eastAsia="zh-CN"/>
        </w:rPr>
        <w:t>SHR and SPR</w:t>
      </w:r>
    </w:p>
    <w:p>
      <w:pPr>
        <w:pStyle w:val="61"/>
        <w:numPr>
          <w:ilvl w:val="0"/>
          <w:numId w:val="15"/>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enhancement</w:t>
      </w:r>
    </w:p>
    <w:p>
      <w:pPr>
        <w:pStyle w:val="61"/>
        <w:numPr>
          <w:ilvl w:val="1"/>
          <w:numId w:val="15"/>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for CPAC</w:t>
      </w:r>
    </w:p>
    <w:p>
      <w:pPr>
        <w:pStyle w:val="61"/>
        <w:numPr>
          <w:ilvl w:val="1"/>
          <w:numId w:val="15"/>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for fast MCG recovery</w:t>
      </w:r>
    </w:p>
    <w:p>
      <w:pPr>
        <w:pStyle w:val="61"/>
        <w:numPr>
          <w:ilvl w:val="1"/>
          <w:numId w:val="15"/>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for inter-system voice fallback</w:t>
      </w:r>
    </w:p>
    <w:p>
      <w:pPr>
        <w:pStyle w:val="61"/>
        <w:numPr>
          <w:ilvl w:val="0"/>
          <w:numId w:val="15"/>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RACH enhancements</w:t>
      </w:r>
    </w:p>
    <w:p>
      <w:pPr>
        <w:pStyle w:val="61"/>
        <w:numPr>
          <w:ilvl w:val="0"/>
          <w:numId w:val="15"/>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SON/MDT enhancements for Non-Public Networks</w:t>
      </w:r>
    </w:p>
    <w:p>
      <w:pPr>
        <w:pStyle w:val="61"/>
        <w:numPr>
          <w:ilvl w:val="0"/>
          <w:numId w:val="15"/>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SON/MDT enhancements for N</w:t>
      </w:r>
      <w:r>
        <w:rPr>
          <w:rFonts w:hint="eastAsia" w:ascii="Times New Roman" w:hAnsi="Times New Roman" w:eastAsiaTheme="minorEastAsia"/>
          <w:sz w:val="20"/>
          <w:szCs w:val="20"/>
          <w:lang w:eastAsia="zh-CN"/>
        </w:rPr>
        <w:t>R-U</w:t>
      </w:r>
    </w:p>
    <w:p>
      <w:pPr>
        <w:pStyle w:val="61"/>
        <w:ind w:firstLine="0" w:firstLineChars="0"/>
        <w:jc w:val="both"/>
        <w:rPr>
          <w:rFonts w:ascii="Times New Roman" w:hAnsi="Times New Roman" w:eastAsiaTheme="minorEastAsia"/>
          <w:sz w:val="20"/>
          <w:szCs w:val="20"/>
          <w:lang w:eastAsia="zh-CN"/>
        </w:rPr>
      </w:pPr>
    </w:p>
    <w:p>
      <w:pPr>
        <w:pStyle w:val="2"/>
        <w:ind w:left="567" w:hanging="567"/>
        <w:rPr>
          <w:rFonts w:eastAsia="宋体" w:cs="Arial"/>
          <w:sz w:val="32"/>
          <w:szCs w:val="32"/>
          <w:lang w:eastAsia="zh-CN"/>
        </w:rPr>
      </w:pPr>
      <w:r>
        <w:rPr>
          <w:rFonts w:eastAsia="宋体" w:cs="Arial"/>
          <w:sz w:val="32"/>
          <w:szCs w:val="32"/>
          <w:lang w:val="en-US" w:eastAsia="zh-CN"/>
        </w:rPr>
        <w:t>4</w:t>
      </w:r>
      <w:r>
        <w:rPr>
          <w:rFonts w:hint="eastAsia" w:eastAsia="宋体" w:cs="Arial"/>
          <w:sz w:val="32"/>
          <w:szCs w:val="32"/>
          <w:lang w:eastAsia="zh-CN"/>
        </w:rPr>
        <w:tab/>
      </w:r>
      <w:r>
        <w:rPr>
          <w:rFonts w:hint="eastAsia" w:eastAsia="宋体" w:cs="Arial"/>
          <w:sz w:val="32"/>
          <w:szCs w:val="32"/>
          <w:lang w:eastAsia="zh-CN"/>
        </w:rPr>
        <w:t>Summary</w:t>
      </w:r>
    </w:p>
    <w:p>
      <w:pPr>
        <w:spacing w:beforeLines="100" w:after="240"/>
        <w:rPr>
          <w:rFonts w:eastAsia="宋体"/>
          <w:b/>
          <w:lang w:val="en-US" w:eastAsia="zh-CN"/>
        </w:rPr>
      </w:pPr>
      <w:r>
        <w:rPr>
          <w:b/>
          <w:lang w:val="en-US"/>
        </w:rPr>
        <w:t>Proposal</w:t>
      </w:r>
      <w:r>
        <w:rPr>
          <w:rFonts w:hint="eastAsia" w:eastAsia="宋体"/>
          <w:b/>
          <w:lang w:val="en-US" w:eastAsia="zh-CN"/>
        </w:rPr>
        <w:t xml:space="preserve"> 1</w:t>
      </w:r>
      <w:r>
        <w:rPr>
          <w:b/>
          <w:lang w:val="en-US"/>
        </w:rPr>
        <w:t xml:space="preserve">: </w:t>
      </w:r>
      <w:r>
        <w:rPr>
          <w:rFonts w:hint="eastAsia" w:eastAsia="宋体"/>
          <w:b/>
          <w:lang w:val="en-US" w:eastAsia="zh-CN"/>
        </w:rPr>
        <w:t>It is proposed to endorse</w:t>
      </w:r>
      <w:r>
        <w:rPr>
          <w:b/>
          <w:lang w:val="en-US"/>
        </w:rPr>
        <w:t xml:space="preserve"> the </w:t>
      </w:r>
      <w:r>
        <w:rPr>
          <w:rFonts w:hint="eastAsia" w:eastAsia="宋体"/>
          <w:b/>
          <w:lang w:val="en-US" w:eastAsia="zh-CN"/>
        </w:rPr>
        <w:t>work plan.</w:t>
      </w:r>
    </w:p>
    <w:p>
      <w:pPr>
        <w:pStyle w:val="2"/>
        <w:ind w:left="567" w:hanging="567"/>
        <w:rPr>
          <w:rFonts w:eastAsia="宋体" w:cs="Arial"/>
          <w:sz w:val="32"/>
          <w:szCs w:val="32"/>
          <w:lang w:eastAsia="zh-CN"/>
        </w:rPr>
      </w:pPr>
      <w:r>
        <w:rPr>
          <w:rFonts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eastAsia="zh-CN"/>
        </w:rPr>
        <w:t>Reference</w:t>
      </w:r>
    </w:p>
    <w:p>
      <w:pPr>
        <w:pStyle w:val="69"/>
        <w:ind w:left="0" w:firstLine="0"/>
        <w:rPr>
          <w:lang w:eastAsia="zh-CN"/>
        </w:rPr>
      </w:pPr>
      <w:r>
        <w:rPr>
          <w:rFonts w:hint="eastAsia"/>
          <w:lang w:eastAsia="zh-CN"/>
        </w:rPr>
        <w:t xml:space="preserve">[1] </w:t>
      </w:r>
      <w:r>
        <w:rPr>
          <w:rFonts w:hint="eastAsia"/>
          <w:lang w:eastAsia="zh-CN"/>
        </w:rPr>
        <w:tab/>
      </w:r>
      <w:bookmarkStart w:id="7" w:name="_GoBack"/>
      <w:r>
        <w:rPr>
          <w:highlight w:val="none"/>
          <w:lang w:eastAsia="zh-CN"/>
        </w:rPr>
        <w:t>RP-</w:t>
      </w:r>
      <w:r>
        <w:rPr>
          <w:rFonts w:hint="eastAsia"/>
          <w:highlight w:val="none"/>
          <w:lang w:eastAsia="zh-CN"/>
        </w:rPr>
        <w:t>2</w:t>
      </w:r>
      <w:r>
        <w:rPr>
          <w:rFonts w:hint="eastAsia"/>
          <w:highlight w:val="none"/>
          <w:lang w:val="en-US" w:eastAsia="zh-CN"/>
        </w:rPr>
        <w:t>31157</w:t>
      </w:r>
      <w:r>
        <w:rPr>
          <w:rFonts w:hint="eastAsia"/>
          <w:highlight w:val="none"/>
          <w:lang w:eastAsia="zh-CN"/>
        </w:rPr>
        <w:t xml:space="preserve">, </w:t>
      </w:r>
      <w:r>
        <w:rPr>
          <w:highlight w:val="none"/>
          <w:lang w:eastAsia="zh-CN"/>
        </w:rPr>
        <w:t>“</w:t>
      </w:r>
      <w:r>
        <w:rPr>
          <w:rFonts w:hint="eastAsia"/>
          <w:highlight w:val="none"/>
          <w:lang w:eastAsia="zh-CN"/>
        </w:rPr>
        <w:t>Revised WID on Fu</w:t>
      </w:r>
      <w:bookmarkEnd w:id="7"/>
      <w:r>
        <w:rPr>
          <w:rFonts w:hint="eastAsia"/>
          <w:lang w:eastAsia="zh-CN"/>
        </w:rPr>
        <w:t xml:space="preserve">rther </w:t>
      </w:r>
      <w:r>
        <w:rPr>
          <w:lang w:eastAsia="zh-CN"/>
        </w:rPr>
        <w:t>Enhancement of Data Collection for SON_MDT in NR standalone and MR-DC”</w:t>
      </w:r>
      <w:r>
        <w:rPr>
          <w:rFonts w:hint="eastAsia"/>
          <w:lang w:eastAsia="zh-CN"/>
        </w:rPr>
        <w:t>, CMCC</w:t>
      </w:r>
    </w:p>
    <w:p>
      <w:pPr>
        <w:pStyle w:val="69"/>
        <w:ind w:left="0" w:firstLine="0"/>
        <w:rPr>
          <w:lang w:eastAsia="zh-CN"/>
        </w:rPr>
      </w:pPr>
      <w:r>
        <w:rPr>
          <w:rFonts w:hint="eastAsia"/>
          <w:lang w:eastAsia="zh-CN"/>
        </w:rPr>
        <w:t>[2]</w:t>
      </w:r>
      <w:r>
        <w:rPr>
          <w:rFonts w:hint="eastAsia"/>
          <w:lang w:eastAsia="zh-CN"/>
        </w:rPr>
        <w:tab/>
      </w:r>
      <w:r>
        <w:rPr>
          <w:lang w:eastAsia="zh-CN"/>
        </w:rPr>
        <w:t>RP-</w:t>
      </w:r>
      <w:r>
        <w:rPr>
          <w:rFonts w:hint="eastAsia"/>
          <w:lang w:eastAsia="zh-CN"/>
        </w:rPr>
        <w:t>221060, Time budget after RAN#96</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imesNewRomanPSMT">
    <w:altName w:val="等线"/>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4"/>
      </w:rPr>
    </w:pPr>
    <w:r>
      <w:rPr>
        <w:rStyle w:val="24"/>
      </w:rPr>
      <w:fldChar w:fldCharType="begin"/>
    </w:r>
    <w:r>
      <w:rPr>
        <w:rStyle w:val="24"/>
      </w:rPr>
      <w:instrText xml:space="preserve">PAGE  </w:instrText>
    </w:r>
    <w:r>
      <w:rPr>
        <w:rStyle w:val="24"/>
      </w:rPr>
      <w:fldChar w:fldCharType="separate"/>
    </w:r>
    <w:r>
      <w:rPr>
        <w:rStyle w:val="24"/>
      </w:rPr>
      <w:t>9</w:t>
    </w:r>
    <w:r>
      <w:rPr>
        <w:rStyle w:val="24"/>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4"/>
      </w:rPr>
    </w:pPr>
    <w:r>
      <w:rPr>
        <w:rStyle w:val="24"/>
      </w:rPr>
      <w:fldChar w:fldCharType="begin"/>
    </w:r>
    <w:r>
      <w:rPr>
        <w:rStyle w:val="24"/>
      </w:rPr>
      <w:instrText xml:space="preserve">PAGE  </w:instrText>
    </w:r>
    <w:r>
      <w:rPr>
        <w:rStyle w:val="24"/>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46D7CEA"/>
    <w:multiLevelType w:val="multilevel"/>
    <w:tmpl w:val="046D7CEA"/>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7584517"/>
    <w:multiLevelType w:val="multilevel"/>
    <w:tmpl w:val="175845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C980565"/>
    <w:multiLevelType w:val="multilevel"/>
    <w:tmpl w:val="2C98056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203B27"/>
    <w:multiLevelType w:val="multilevel"/>
    <w:tmpl w:val="39203B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4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7DB5548"/>
    <w:multiLevelType w:val="multilevel"/>
    <w:tmpl w:val="47DB5548"/>
    <w:lvl w:ilvl="0" w:tentative="0">
      <w:start w:val="1"/>
      <w:numFmt w:val="bullet"/>
      <w:lvlText w:val="−"/>
      <w:lvlJc w:val="left"/>
      <w:pPr>
        <w:ind w:left="840" w:hanging="420"/>
      </w:pPr>
      <w:rPr>
        <w:rFonts w:hint="eastAsia" w:ascii="微软雅黑" w:hAnsi="微软雅黑" w:eastAsia="微软雅黑"/>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482E59BE"/>
    <w:multiLevelType w:val="multilevel"/>
    <w:tmpl w:val="482E59B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101505E"/>
    <w:multiLevelType w:val="multilevel"/>
    <w:tmpl w:val="5101505E"/>
    <w:lvl w:ilvl="0" w:tentative="0">
      <w:start w:val="1"/>
      <w:numFmt w:val="decimal"/>
      <w:pStyle w:val="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10737BD"/>
    <w:multiLevelType w:val="multilevel"/>
    <w:tmpl w:val="510737BD"/>
    <w:lvl w:ilvl="0" w:tentative="0">
      <w:start w:val="1"/>
      <w:numFmt w:val="lowerLetter"/>
      <w:lvlText w:val="%1."/>
      <w:lvlJc w:val="left"/>
      <w:pPr>
        <w:ind w:left="1080" w:hanging="360"/>
      </w:pPr>
      <w:rPr>
        <w:rFonts w:hint="default" w:ascii="Times New Roman" w:hAnsi="Times New Roman" w:cs="Times New Roman"/>
      </w:rPr>
    </w:lvl>
    <w:lvl w:ilvl="1" w:tentative="0">
      <w:start w:val="1"/>
      <w:numFmt w:val="lowerLetter"/>
      <w:lvlText w:val="%2."/>
      <w:lvlJc w:val="left"/>
      <w:pPr>
        <w:ind w:left="1800" w:hanging="360"/>
      </w:pPr>
      <w:rPr>
        <w:rFonts w:hint="default" w:ascii="Times New Roman" w:hAnsi="Times New Roman" w:cs="Times New Roman"/>
      </w:rPr>
    </w:lvl>
    <w:lvl w:ilvl="2" w:tentative="0">
      <w:start w:val="1"/>
      <w:numFmt w:val="lowerRoman"/>
      <w:lvlText w:val="%3."/>
      <w:lvlJc w:val="right"/>
      <w:pPr>
        <w:ind w:left="2520" w:hanging="180"/>
      </w:pPr>
      <w:rPr>
        <w:rFonts w:hint="default" w:ascii="Times New Roman" w:hAnsi="Times New Roman" w:cs="Times New Roman"/>
      </w:rPr>
    </w:lvl>
    <w:lvl w:ilvl="3" w:tentative="0">
      <w:start w:val="1"/>
      <w:numFmt w:val="decimal"/>
      <w:lvlText w:val="%4."/>
      <w:lvlJc w:val="left"/>
      <w:pPr>
        <w:ind w:left="3240" w:hanging="360"/>
      </w:pPr>
      <w:rPr>
        <w:rFonts w:hint="default" w:ascii="Times New Roman" w:hAnsi="Times New Roman" w:cs="Times New Roman"/>
      </w:rPr>
    </w:lvl>
    <w:lvl w:ilvl="4" w:tentative="0">
      <w:start w:val="1"/>
      <w:numFmt w:val="lowerLetter"/>
      <w:lvlText w:val="%5."/>
      <w:lvlJc w:val="left"/>
      <w:pPr>
        <w:ind w:left="3960" w:hanging="360"/>
      </w:pPr>
      <w:rPr>
        <w:rFonts w:hint="default" w:ascii="Times New Roman" w:hAnsi="Times New Roman" w:cs="Times New Roman"/>
      </w:rPr>
    </w:lvl>
    <w:lvl w:ilvl="5" w:tentative="0">
      <w:start w:val="1"/>
      <w:numFmt w:val="lowerRoman"/>
      <w:lvlText w:val="%6."/>
      <w:lvlJc w:val="right"/>
      <w:pPr>
        <w:ind w:left="4680" w:hanging="180"/>
      </w:pPr>
      <w:rPr>
        <w:rFonts w:hint="default" w:ascii="Times New Roman" w:hAnsi="Times New Roman" w:cs="Times New Roman"/>
      </w:rPr>
    </w:lvl>
    <w:lvl w:ilvl="6" w:tentative="0">
      <w:start w:val="1"/>
      <w:numFmt w:val="decimal"/>
      <w:lvlText w:val="%7."/>
      <w:lvlJc w:val="left"/>
      <w:pPr>
        <w:ind w:left="5400" w:hanging="360"/>
      </w:pPr>
      <w:rPr>
        <w:rFonts w:hint="default" w:ascii="Times New Roman" w:hAnsi="Times New Roman" w:cs="Times New Roman"/>
      </w:rPr>
    </w:lvl>
    <w:lvl w:ilvl="7" w:tentative="0">
      <w:start w:val="1"/>
      <w:numFmt w:val="lowerLetter"/>
      <w:lvlText w:val="%8."/>
      <w:lvlJc w:val="left"/>
      <w:pPr>
        <w:ind w:left="6120" w:hanging="360"/>
      </w:pPr>
      <w:rPr>
        <w:rFonts w:hint="default" w:ascii="Times New Roman" w:hAnsi="Times New Roman" w:cs="Times New Roman"/>
      </w:rPr>
    </w:lvl>
    <w:lvl w:ilvl="8" w:tentative="0">
      <w:start w:val="1"/>
      <w:numFmt w:val="lowerRoman"/>
      <w:lvlText w:val="%9."/>
      <w:lvlJc w:val="right"/>
      <w:pPr>
        <w:ind w:left="6840" w:hanging="180"/>
      </w:pPr>
      <w:rPr>
        <w:rFonts w:hint="default" w:ascii="Times New Roman" w:hAnsi="Times New Roman" w:cs="Times New Roman"/>
      </w:rPr>
    </w:lvl>
  </w:abstractNum>
  <w:abstractNum w:abstractNumId="10">
    <w:nsid w:val="5BD01610"/>
    <w:multiLevelType w:val="multilevel"/>
    <w:tmpl w:val="5BD01610"/>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60770B2A"/>
    <w:multiLevelType w:val="multilevel"/>
    <w:tmpl w:val="60770B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4DB638A"/>
    <w:multiLevelType w:val="multilevel"/>
    <w:tmpl w:val="64DB638A"/>
    <w:lvl w:ilvl="0" w:tentative="0">
      <w:start w:val="10"/>
      <w:numFmt w:val="bullet"/>
      <w:lvlText w:val="•"/>
      <w:lvlJc w:val="left"/>
      <w:pPr>
        <w:ind w:left="1080" w:hanging="72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4">
    <w:nsid w:val="6D925985"/>
    <w:multiLevelType w:val="multilevel"/>
    <w:tmpl w:val="6D9259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8"/>
  </w:num>
  <w:num w:numId="3">
    <w:abstractNumId w:val="13"/>
  </w:num>
  <w:num w:numId="4">
    <w:abstractNumId w:val="0"/>
  </w:num>
  <w:num w:numId="5">
    <w:abstractNumId w:val="10"/>
  </w:num>
  <w:num w:numId="6">
    <w:abstractNumId w:val="4"/>
  </w:num>
  <w:num w:numId="7">
    <w:abstractNumId w:val="6"/>
  </w:num>
  <w:num w:numId="8">
    <w:abstractNumId w:val="12"/>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3"/>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E09"/>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0F1"/>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373D"/>
    <w:rsid w:val="00174F2B"/>
    <w:rsid w:val="00175C71"/>
    <w:rsid w:val="001767D5"/>
    <w:rsid w:val="001769B5"/>
    <w:rsid w:val="00180CCA"/>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E75"/>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1006"/>
    <w:rsid w:val="00382D2D"/>
    <w:rsid w:val="003839FD"/>
    <w:rsid w:val="00383DE7"/>
    <w:rsid w:val="00384167"/>
    <w:rsid w:val="0038463A"/>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87"/>
    <w:rsid w:val="00407BE4"/>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E77"/>
    <w:rsid w:val="0043202C"/>
    <w:rsid w:val="004322E6"/>
    <w:rsid w:val="00434293"/>
    <w:rsid w:val="004357CD"/>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44CA"/>
    <w:rsid w:val="0049533E"/>
    <w:rsid w:val="004961B4"/>
    <w:rsid w:val="00496601"/>
    <w:rsid w:val="00496A02"/>
    <w:rsid w:val="004A081D"/>
    <w:rsid w:val="004A0B19"/>
    <w:rsid w:val="004A4359"/>
    <w:rsid w:val="004A60E1"/>
    <w:rsid w:val="004B0F0E"/>
    <w:rsid w:val="004B100D"/>
    <w:rsid w:val="004B14C2"/>
    <w:rsid w:val="004B177B"/>
    <w:rsid w:val="004B1BAF"/>
    <w:rsid w:val="004B1DD1"/>
    <w:rsid w:val="004B1E9F"/>
    <w:rsid w:val="004B369C"/>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5E1F"/>
    <w:rsid w:val="004D606A"/>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615B"/>
    <w:rsid w:val="004E7419"/>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94E"/>
    <w:rsid w:val="00536C4E"/>
    <w:rsid w:val="00536D50"/>
    <w:rsid w:val="00537C7C"/>
    <w:rsid w:val="00537EA0"/>
    <w:rsid w:val="0054227E"/>
    <w:rsid w:val="005422C0"/>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5034"/>
    <w:rsid w:val="005E5125"/>
    <w:rsid w:val="005E51D2"/>
    <w:rsid w:val="005E5946"/>
    <w:rsid w:val="005E5E4B"/>
    <w:rsid w:val="005E68AB"/>
    <w:rsid w:val="005E6B80"/>
    <w:rsid w:val="005E7F8B"/>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526"/>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D20"/>
    <w:rsid w:val="00797365"/>
    <w:rsid w:val="0079785E"/>
    <w:rsid w:val="00797BBD"/>
    <w:rsid w:val="00797D5B"/>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C324C"/>
    <w:rsid w:val="007C4780"/>
    <w:rsid w:val="007C53E7"/>
    <w:rsid w:val="007C5494"/>
    <w:rsid w:val="007C5EEC"/>
    <w:rsid w:val="007C67BB"/>
    <w:rsid w:val="007C7785"/>
    <w:rsid w:val="007C7CC3"/>
    <w:rsid w:val="007D090E"/>
    <w:rsid w:val="007D0C6C"/>
    <w:rsid w:val="007D1721"/>
    <w:rsid w:val="007D1AA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039"/>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8B7"/>
    <w:rsid w:val="0083253B"/>
    <w:rsid w:val="008334C0"/>
    <w:rsid w:val="00834D94"/>
    <w:rsid w:val="008368A4"/>
    <w:rsid w:val="00836C4A"/>
    <w:rsid w:val="00840C8F"/>
    <w:rsid w:val="00841794"/>
    <w:rsid w:val="008430F4"/>
    <w:rsid w:val="00844119"/>
    <w:rsid w:val="00844435"/>
    <w:rsid w:val="00846E07"/>
    <w:rsid w:val="00851788"/>
    <w:rsid w:val="008524F3"/>
    <w:rsid w:val="008536E7"/>
    <w:rsid w:val="00853D95"/>
    <w:rsid w:val="008547D5"/>
    <w:rsid w:val="00854F03"/>
    <w:rsid w:val="008562E4"/>
    <w:rsid w:val="00856656"/>
    <w:rsid w:val="00856C23"/>
    <w:rsid w:val="00856CDF"/>
    <w:rsid w:val="00856E1B"/>
    <w:rsid w:val="00856E32"/>
    <w:rsid w:val="00856EB0"/>
    <w:rsid w:val="008570EC"/>
    <w:rsid w:val="008572D2"/>
    <w:rsid w:val="0086091C"/>
    <w:rsid w:val="00863E8E"/>
    <w:rsid w:val="00865F4C"/>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4E4"/>
    <w:rsid w:val="00912A41"/>
    <w:rsid w:val="009135AE"/>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60F"/>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6E5B"/>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5154"/>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932"/>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2347"/>
    <w:rsid w:val="00AE2D74"/>
    <w:rsid w:val="00AF091D"/>
    <w:rsid w:val="00AF20A5"/>
    <w:rsid w:val="00AF2D4A"/>
    <w:rsid w:val="00AF46CD"/>
    <w:rsid w:val="00AF51B4"/>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D0"/>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B7B"/>
    <w:rsid w:val="00B90C00"/>
    <w:rsid w:val="00B9129D"/>
    <w:rsid w:val="00B91B2F"/>
    <w:rsid w:val="00B927B2"/>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35F"/>
    <w:rsid w:val="00BD1D2C"/>
    <w:rsid w:val="00BD31CC"/>
    <w:rsid w:val="00BD4439"/>
    <w:rsid w:val="00BD5217"/>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891"/>
    <w:rsid w:val="00C01DE1"/>
    <w:rsid w:val="00C02552"/>
    <w:rsid w:val="00C02A4E"/>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4854"/>
    <w:rsid w:val="00C65182"/>
    <w:rsid w:val="00C65D98"/>
    <w:rsid w:val="00C661FF"/>
    <w:rsid w:val="00C668E6"/>
    <w:rsid w:val="00C6695D"/>
    <w:rsid w:val="00C669C1"/>
    <w:rsid w:val="00C67248"/>
    <w:rsid w:val="00C67CBF"/>
    <w:rsid w:val="00C7070D"/>
    <w:rsid w:val="00C71A0F"/>
    <w:rsid w:val="00C72D7C"/>
    <w:rsid w:val="00C73577"/>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659E"/>
    <w:rsid w:val="00D27E03"/>
    <w:rsid w:val="00D319A7"/>
    <w:rsid w:val="00D319A8"/>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B8"/>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F9"/>
    <w:rsid w:val="00E36B79"/>
    <w:rsid w:val="00E3774B"/>
    <w:rsid w:val="00E4148C"/>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1157"/>
    <w:rsid w:val="00E616CC"/>
    <w:rsid w:val="00E61E99"/>
    <w:rsid w:val="00E620F4"/>
    <w:rsid w:val="00E62611"/>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376"/>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40"/>
    <w:rsid w:val="00EB2464"/>
    <w:rsid w:val="00EB2671"/>
    <w:rsid w:val="00EB30BC"/>
    <w:rsid w:val="00EB53AC"/>
    <w:rsid w:val="00EB5B87"/>
    <w:rsid w:val="00EB5D40"/>
    <w:rsid w:val="00EB687F"/>
    <w:rsid w:val="00EB6DFE"/>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1F5F"/>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1FA8"/>
    <w:rsid w:val="00F04E28"/>
    <w:rsid w:val="00F07753"/>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0F0"/>
    <w:rsid w:val="00FD323D"/>
    <w:rsid w:val="00FD542B"/>
    <w:rsid w:val="00FE1D5A"/>
    <w:rsid w:val="00FE24A9"/>
    <w:rsid w:val="00FE3E3F"/>
    <w:rsid w:val="00FE3FBA"/>
    <w:rsid w:val="00FE434A"/>
    <w:rsid w:val="00FE4DC8"/>
    <w:rsid w:val="00FE5A6B"/>
    <w:rsid w:val="00FE5B9E"/>
    <w:rsid w:val="00FE663A"/>
    <w:rsid w:val="00FE683D"/>
    <w:rsid w:val="00FE72F2"/>
    <w:rsid w:val="00FE736E"/>
    <w:rsid w:val="00FE7B97"/>
    <w:rsid w:val="00FF046D"/>
    <w:rsid w:val="00FF158B"/>
    <w:rsid w:val="00FF7252"/>
    <w:rsid w:val="00FF78CA"/>
    <w:rsid w:val="015F6244"/>
    <w:rsid w:val="078C5E11"/>
    <w:rsid w:val="101B7CC1"/>
    <w:rsid w:val="10D115E5"/>
    <w:rsid w:val="16F04F28"/>
    <w:rsid w:val="173565E5"/>
    <w:rsid w:val="18A14FAC"/>
    <w:rsid w:val="18F84703"/>
    <w:rsid w:val="21086917"/>
    <w:rsid w:val="28292A68"/>
    <w:rsid w:val="28F1630C"/>
    <w:rsid w:val="2B84780A"/>
    <w:rsid w:val="2BB55244"/>
    <w:rsid w:val="2C634DDF"/>
    <w:rsid w:val="320F2EEE"/>
    <w:rsid w:val="352D2319"/>
    <w:rsid w:val="37985B61"/>
    <w:rsid w:val="453730A7"/>
    <w:rsid w:val="45714452"/>
    <w:rsid w:val="48052FD7"/>
    <w:rsid w:val="49125A29"/>
    <w:rsid w:val="4B151443"/>
    <w:rsid w:val="4BEE476E"/>
    <w:rsid w:val="4C3604AB"/>
    <w:rsid w:val="4D574DED"/>
    <w:rsid w:val="50482777"/>
    <w:rsid w:val="5094434E"/>
    <w:rsid w:val="51B13E95"/>
    <w:rsid w:val="54F07390"/>
    <w:rsid w:val="5655650A"/>
    <w:rsid w:val="570F27D7"/>
    <w:rsid w:val="577E530F"/>
    <w:rsid w:val="5AEE394A"/>
    <w:rsid w:val="5CF046DA"/>
    <w:rsid w:val="61AA614D"/>
    <w:rsid w:val="62CA69F8"/>
    <w:rsid w:val="64F56248"/>
    <w:rsid w:val="65277804"/>
    <w:rsid w:val="66751DCB"/>
    <w:rsid w:val="66A76175"/>
    <w:rsid w:val="68063CAD"/>
    <w:rsid w:val="684734A4"/>
    <w:rsid w:val="68EC2153"/>
    <w:rsid w:val="6DF645F4"/>
    <w:rsid w:val="71502A60"/>
    <w:rsid w:val="72155294"/>
    <w:rsid w:val="72E6396C"/>
    <w:rsid w:val="74A5074F"/>
    <w:rsid w:val="760A1B0D"/>
    <w:rsid w:val="76702919"/>
    <w:rsid w:val="794F389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link w:val="77"/>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39"/>
    <w:unhideWhenUsed/>
    <w:qFormat/>
    <w:uiPriority w:val="0"/>
    <w:pPr>
      <w:spacing w:before="120" w:after="180"/>
      <w:ind w:left="1985" w:hanging="1985"/>
      <w:outlineLvl w:val="5"/>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8"/>
    <w:qFormat/>
    <w:uiPriority w:val="0"/>
    <w:rPr>
      <w:rFonts w:ascii="宋体" w:eastAsia="宋体"/>
      <w:sz w:val="18"/>
      <w:szCs w:val="18"/>
    </w:rPr>
  </w:style>
  <w:style w:type="paragraph" w:styleId="10">
    <w:name w:val="annotation text"/>
    <w:basedOn w:val="1"/>
    <w:link w:val="56"/>
    <w:qFormat/>
    <w:uiPriority w:val="0"/>
  </w:style>
  <w:style w:type="paragraph" w:styleId="11">
    <w:name w:val="Body Text"/>
    <w:basedOn w:val="1"/>
    <w:link w:val="45"/>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8"/>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5"/>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1"/>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annotation subject"/>
    <w:basedOn w:val="10"/>
    <w:next w:val="10"/>
    <w:link w:val="57"/>
    <w:qFormat/>
    <w:uiPriority w:val="0"/>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unhideWhenUsed/>
    <w:qFormat/>
    <w:uiPriority w:val="99"/>
    <w:rPr>
      <w:color w:val="464E90"/>
      <w:u w:val="none"/>
    </w:rPr>
  </w:style>
  <w:style w:type="character" w:styleId="26">
    <w:name w:val="annotation reference"/>
    <w:qFormat/>
    <w:uiPriority w:val="0"/>
    <w:rPr>
      <w:sz w:val="21"/>
      <w:szCs w:val="21"/>
    </w:rPr>
  </w:style>
  <w:style w:type="paragraph" w:customStyle="1" w:styleId="27">
    <w:name w:val="CR Cover Page"/>
    <w:link w:val="72"/>
    <w:qFormat/>
    <w:uiPriority w:val="0"/>
    <w:pPr>
      <w:spacing w:after="120"/>
    </w:pPr>
    <w:rPr>
      <w:rFonts w:ascii="Arial" w:hAnsi="Arial" w:eastAsia="MS Mincho" w:cs="Times New Roman"/>
      <w:lang w:val="en-GB" w:eastAsia="en-US" w:bidi="ar-SA"/>
    </w:rPr>
  </w:style>
  <w:style w:type="paragraph" w:customStyle="1" w:styleId="28">
    <w:name w:val="B1"/>
    <w:basedOn w:val="18"/>
    <w:link w:val="32"/>
    <w:qFormat/>
    <w:uiPriority w:val="0"/>
    <w:pPr>
      <w:spacing w:after="180"/>
      <w:ind w:left="568" w:hanging="284"/>
    </w:pPr>
    <w:rPr>
      <w:rFonts w:ascii="Times New Roman" w:hAnsi="Times New Roman"/>
    </w:rPr>
  </w:style>
  <w:style w:type="paragraph" w:customStyle="1" w:styleId="29">
    <w:name w:val="B2"/>
    <w:basedOn w:val="12"/>
    <w:qFormat/>
    <w:uiPriority w:val="0"/>
    <w:pPr>
      <w:spacing w:after="180"/>
      <w:ind w:left="851" w:hanging="284"/>
    </w:pPr>
  </w:style>
  <w:style w:type="paragraph" w:customStyle="1" w:styleId="30">
    <w:name w:val="B3"/>
    <w:basedOn w:val="8"/>
    <w:qFormat/>
    <w:uiPriority w:val="0"/>
    <w:pPr>
      <w:spacing w:after="180"/>
      <w:ind w:left="1135" w:hanging="284"/>
    </w:pPr>
  </w:style>
  <w:style w:type="paragraph" w:customStyle="1" w:styleId="31">
    <w:name w:val="B5"/>
    <w:basedOn w:val="19"/>
    <w:qFormat/>
    <w:uiPriority w:val="0"/>
    <w:pPr>
      <w:spacing w:after="180"/>
      <w:ind w:left="1702" w:hanging="284"/>
    </w:pPr>
  </w:style>
  <w:style w:type="character" w:customStyle="1" w:styleId="32">
    <w:name w:val="B1 Char1"/>
    <w:link w:val="28"/>
    <w:qFormat/>
    <w:uiPriority w:val="0"/>
    <w:rPr>
      <w:rFonts w:eastAsia="MS Mincho"/>
      <w:lang w:val="en-GB" w:eastAsia="en-US" w:bidi="ar-SA"/>
    </w:rPr>
  </w:style>
  <w:style w:type="paragraph" w:customStyle="1" w:styleId="33">
    <w:name w:val="B0"/>
    <w:basedOn w:val="28"/>
    <w:qFormat/>
    <w:uiPriority w:val="0"/>
    <w:pPr>
      <w:ind w:left="284"/>
    </w:pPr>
    <w:rPr>
      <w:lang w:eastAsia="ja-JP"/>
    </w:rPr>
  </w:style>
  <w:style w:type="paragraph" w:customStyle="1" w:styleId="34">
    <w:name w:val="NO"/>
    <w:basedOn w:val="1"/>
    <w:qFormat/>
    <w:uiPriority w:val="0"/>
    <w:pPr>
      <w:keepLines/>
      <w:spacing w:after="180"/>
      <w:ind w:left="1135" w:hanging="851"/>
    </w:pPr>
  </w:style>
  <w:style w:type="paragraph" w:customStyle="1" w:styleId="35">
    <w:name w:val="TF"/>
    <w:basedOn w:val="36"/>
    <w:link w:val="54"/>
    <w:qFormat/>
    <w:uiPriority w:val="0"/>
    <w:pPr>
      <w:keepNext w:val="0"/>
      <w:spacing w:before="0" w:after="240"/>
    </w:pPr>
  </w:style>
  <w:style w:type="paragraph" w:customStyle="1" w:styleId="36">
    <w:name w:val="TH"/>
    <w:basedOn w:val="1"/>
    <w:link w:val="59"/>
    <w:qFormat/>
    <w:uiPriority w:val="0"/>
    <w:pPr>
      <w:keepNext/>
      <w:keepLines/>
      <w:spacing w:before="60" w:after="180"/>
      <w:jc w:val="center"/>
    </w:pPr>
    <w:rPr>
      <w:b/>
    </w:rPr>
  </w:style>
  <w:style w:type="paragraph" w:customStyle="1" w:styleId="37">
    <w:name w:val="Reference"/>
    <w:basedOn w:val="1"/>
    <w:qFormat/>
    <w:uiPriority w:val="0"/>
    <w:pPr>
      <w:ind w:left="709" w:hanging="709"/>
    </w:pPr>
    <w:rPr>
      <w:lang w:eastAsia="ja-JP"/>
    </w:rPr>
  </w:style>
  <w:style w:type="paragraph" w:customStyle="1" w:styleId="38">
    <w:name w:val="Quotation"/>
    <w:basedOn w:val="37"/>
    <w:qFormat/>
    <w:uiPriority w:val="0"/>
    <w:pPr>
      <w:ind w:left="567" w:firstLine="0"/>
    </w:pPr>
    <w:rPr>
      <w:rFonts w:ascii="Times New Roman" w:hAnsi="Times New Roman"/>
      <w:color w:val="0070C0"/>
    </w:rPr>
  </w:style>
  <w:style w:type="character" w:customStyle="1" w:styleId="39">
    <w:name w:val="标题 6 Char"/>
    <w:link w:val="7"/>
    <w:qFormat/>
    <w:uiPriority w:val="0"/>
    <w:rPr>
      <w:rFonts w:ascii="Arial" w:hAnsi="Arial" w:eastAsia="MS Mincho"/>
      <w:lang w:eastAsia="en-US"/>
    </w:rPr>
  </w:style>
  <w:style w:type="paragraph" w:customStyle="1" w:styleId="40">
    <w:name w:val="Head 6"/>
    <w:basedOn w:val="1"/>
    <w:next w:val="1"/>
    <w:qFormat/>
    <w:uiPriority w:val="0"/>
    <w:pPr>
      <w:spacing w:before="120" w:after="180"/>
      <w:ind w:left="1985" w:hanging="1985"/>
    </w:pPr>
    <w:rPr>
      <w:rFonts w:eastAsia="Times New Roman"/>
    </w:rPr>
  </w:style>
  <w:style w:type="paragraph" w:customStyle="1" w:styleId="41">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2">
    <w:name w:val="Observation"/>
    <w:basedOn w:val="41"/>
    <w:qFormat/>
    <w:uiPriority w:val="0"/>
    <w:pPr>
      <w:numPr>
        <w:ilvl w:val="0"/>
        <w:numId w:val="2"/>
      </w:numPr>
      <w:ind w:left="1701" w:hanging="1701"/>
    </w:pPr>
  </w:style>
  <w:style w:type="paragraph" w:customStyle="1" w:styleId="43">
    <w:name w:val="Editor's Note"/>
    <w:basedOn w:val="34"/>
    <w:link w:val="44"/>
    <w:qFormat/>
    <w:uiPriority w:val="0"/>
    <w:pPr>
      <w:overflowPunct/>
      <w:autoSpaceDE/>
      <w:autoSpaceDN/>
      <w:adjustRightInd/>
      <w:textAlignment w:val="auto"/>
    </w:pPr>
    <w:rPr>
      <w:rFonts w:ascii="Times New Roman" w:hAnsi="Times New Roman"/>
      <w:color w:val="FF0000"/>
    </w:rPr>
  </w:style>
  <w:style w:type="character" w:customStyle="1" w:styleId="44">
    <w:name w:val="Editor's Note Char"/>
    <w:link w:val="43"/>
    <w:qFormat/>
    <w:uiPriority w:val="0"/>
    <w:rPr>
      <w:rFonts w:eastAsia="MS Mincho"/>
      <w:color w:val="FF0000"/>
      <w:lang w:eastAsia="en-US"/>
    </w:rPr>
  </w:style>
  <w:style w:type="character" w:customStyle="1" w:styleId="45">
    <w:name w:val="正文文本 Char"/>
    <w:link w:val="11"/>
    <w:qFormat/>
    <w:uiPriority w:val="0"/>
    <w:rPr>
      <w:rFonts w:ascii="Arial" w:hAnsi="Arial"/>
      <w:lang w:eastAsia="zh-CN"/>
    </w:rPr>
  </w:style>
  <w:style w:type="paragraph" w:customStyle="1" w:styleId="46">
    <w:name w:val="TAH"/>
    <w:basedOn w:val="47"/>
    <w:link w:val="51"/>
    <w:qFormat/>
    <w:uiPriority w:val="0"/>
    <w:rPr>
      <w:b/>
    </w:rPr>
  </w:style>
  <w:style w:type="paragraph" w:customStyle="1" w:styleId="47">
    <w:name w:val="TAC"/>
    <w:basedOn w:val="48"/>
    <w:link w:val="50"/>
    <w:qFormat/>
    <w:uiPriority w:val="0"/>
    <w:pPr>
      <w:jc w:val="center"/>
    </w:pPr>
  </w:style>
  <w:style w:type="paragraph" w:customStyle="1" w:styleId="48">
    <w:name w:val="TAL"/>
    <w:basedOn w:val="1"/>
    <w:link w:val="49"/>
    <w:qFormat/>
    <w:uiPriority w:val="0"/>
    <w:pPr>
      <w:keepNext/>
      <w:keepLines/>
      <w:overflowPunct/>
      <w:autoSpaceDE/>
      <w:autoSpaceDN/>
      <w:adjustRightInd/>
      <w:spacing w:after="0"/>
      <w:textAlignment w:val="auto"/>
    </w:pPr>
    <w:rPr>
      <w:rFonts w:eastAsia="等线"/>
      <w:sz w:val="18"/>
    </w:rPr>
  </w:style>
  <w:style w:type="character" w:customStyle="1" w:styleId="49">
    <w:name w:val="TAL Char"/>
    <w:link w:val="48"/>
    <w:qFormat/>
    <w:uiPriority w:val="0"/>
    <w:rPr>
      <w:rFonts w:ascii="Arial" w:hAnsi="Arial"/>
      <w:sz w:val="18"/>
      <w:lang w:eastAsia="en-US"/>
    </w:rPr>
  </w:style>
  <w:style w:type="character" w:customStyle="1" w:styleId="50">
    <w:name w:val="TAC Char"/>
    <w:link w:val="47"/>
    <w:qFormat/>
    <w:uiPriority w:val="0"/>
  </w:style>
  <w:style w:type="character" w:customStyle="1" w:styleId="51">
    <w:name w:val="TAH Char"/>
    <w:link w:val="46"/>
    <w:qFormat/>
    <w:uiPriority w:val="0"/>
    <w:rPr>
      <w:rFonts w:ascii="Arial" w:hAnsi="Arial"/>
      <w:b/>
      <w:sz w:val="18"/>
      <w:lang w:eastAsia="en-US"/>
    </w:rPr>
  </w:style>
  <w:style w:type="paragraph" w:customStyle="1" w:styleId="52">
    <w:name w:val="B4"/>
    <w:basedOn w:val="30"/>
    <w:qFormat/>
    <w:uiPriority w:val="0"/>
    <w:pPr>
      <w:ind w:left="1418"/>
    </w:pPr>
  </w:style>
  <w:style w:type="character" w:customStyle="1" w:styleId="53">
    <w:name w:val="B1 Char"/>
    <w:qFormat/>
    <w:uiPriority w:val="0"/>
    <w:rPr>
      <w:rFonts w:eastAsia="Times New Roman"/>
    </w:rPr>
  </w:style>
  <w:style w:type="character" w:customStyle="1" w:styleId="54">
    <w:name w:val="TF Zchn"/>
    <w:link w:val="35"/>
    <w:qFormat/>
    <w:uiPriority w:val="0"/>
    <w:rPr>
      <w:rFonts w:ascii="Arial" w:hAnsi="Arial" w:eastAsia="MS Mincho"/>
      <w:b/>
      <w:lang w:val="en-GB" w:eastAsia="en-US"/>
    </w:rPr>
  </w:style>
  <w:style w:type="character" w:customStyle="1" w:styleId="55">
    <w:name w:val="批注框文本 Char"/>
    <w:link w:val="14"/>
    <w:qFormat/>
    <w:uiPriority w:val="0"/>
    <w:rPr>
      <w:rFonts w:ascii="Arial" w:hAnsi="Arial" w:eastAsia="MS Mincho"/>
      <w:sz w:val="18"/>
      <w:szCs w:val="18"/>
      <w:lang w:val="en-GB" w:eastAsia="en-US"/>
    </w:rPr>
  </w:style>
  <w:style w:type="character" w:customStyle="1" w:styleId="56">
    <w:name w:val="批注文字 Char"/>
    <w:link w:val="10"/>
    <w:qFormat/>
    <w:uiPriority w:val="0"/>
    <w:rPr>
      <w:rFonts w:ascii="Arial" w:hAnsi="Arial" w:eastAsia="MS Mincho"/>
      <w:lang w:val="en-GB" w:eastAsia="en-US"/>
    </w:rPr>
  </w:style>
  <w:style w:type="character" w:customStyle="1" w:styleId="57">
    <w:name w:val="批注主题 Char"/>
    <w:link w:val="20"/>
    <w:qFormat/>
    <w:uiPriority w:val="0"/>
    <w:rPr>
      <w:rFonts w:ascii="Arial" w:hAnsi="Arial" w:eastAsia="MS Mincho"/>
      <w:b/>
      <w:bCs/>
      <w:lang w:val="en-GB" w:eastAsia="en-US"/>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59">
    <w:name w:val="TH Char"/>
    <w:link w:val="36"/>
    <w:qFormat/>
    <w:uiPriority w:val="0"/>
    <w:rPr>
      <w:rFonts w:ascii="Arial" w:hAnsi="Arial" w:eastAsia="MS Mincho"/>
      <w:b/>
      <w:lang w:val="en-GB" w:eastAsia="en-US"/>
    </w:rPr>
  </w:style>
  <w:style w:type="paragraph" w:customStyle="1" w:styleId="6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1">
    <w:name w:val="List Paragraph"/>
    <w:basedOn w:val="1"/>
    <w:link w:val="75"/>
    <w:qFormat/>
    <w:uiPriority w:val="99"/>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2">
    <w:name w:val="PL Char"/>
    <w:link w:val="63"/>
    <w:qFormat/>
    <w:locked/>
    <w:uiPriority w:val="0"/>
    <w:rPr>
      <w:rFonts w:ascii="Courier New" w:hAnsi="Courier New" w:cs="Courier New"/>
      <w:sz w:val="16"/>
      <w:lang w:val="en-GB" w:eastAsia="en-US" w:bidi="ar-SA"/>
    </w:rPr>
  </w:style>
  <w:style w:type="paragraph" w:customStyle="1" w:styleId="63">
    <w:name w:val="PL"/>
    <w:link w:val="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4">
    <w:name w:val="NW"/>
    <w:basedOn w:val="34"/>
    <w:qFormat/>
    <w:uiPriority w:val="0"/>
    <w:pPr>
      <w:overflowPunct/>
      <w:autoSpaceDE/>
      <w:autoSpaceDN/>
      <w:adjustRightInd/>
      <w:spacing w:after="0"/>
      <w:textAlignment w:val="auto"/>
    </w:pPr>
    <w:rPr>
      <w:rFonts w:ascii="Times New Roman" w:hAnsi="Times New Roman" w:eastAsia="宋体"/>
    </w:rPr>
  </w:style>
  <w:style w:type="paragraph" w:customStyle="1" w:styleId="65">
    <w:name w:val="TAL + Left:  1"/>
    <w:basedOn w:val="48"/>
    <w:link w:val="66"/>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6">
    <w:name w:val="TAL + Left:  1.00 cm Char Char"/>
    <w:link w:val="65"/>
    <w:qFormat/>
    <w:uiPriority w:val="0"/>
    <w:rPr>
      <w:rFonts w:ascii="Arial" w:hAnsi="Arial" w:eastAsia="宋体" w:cs="Arial"/>
      <w:sz w:val="18"/>
      <w:szCs w:val="18"/>
      <w:lang w:val="en-GB" w:eastAsia="en-GB"/>
    </w:rPr>
  </w:style>
  <w:style w:type="paragraph" w:customStyle="1" w:styleId="67">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8">
    <w:name w:val="文档结构图 Char"/>
    <w:basedOn w:val="23"/>
    <w:link w:val="9"/>
    <w:qFormat/>
    <w:uiPriority w:val="0"/>
    <w:rPr>
      <w:rFonts w:ascii="宋体" w:hAnsi="Arial" w:eastAsia="宋体"/>
      <w:sz w:val="18"/>
      <w:szCs w:val="18"/>
      <w:lang w:val="en-GB" w:eastAsia="en-US"/>
    </w:rPr>
  </w:style>
  <w:style w:type="paragraph" w:customStyle="1" w:styleId="69">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0">
    <w:name w:val="apple-converted-space"/>
    <w:basedOn w:val="23"/>
    <w:qFormat/>
    <w:uiPriority w:val="0"/>
  </w:style>
  <w:style w:type="character" w:customStyle="1" w:styleId="71">
    <w:name w:val="页眉 Char"/>
    <w:basedOn w:val="23"/>
    <w:link w:val="16"/>
    <w:qFormat/>
    <w:uiPriority w:val="0"/>
    <w:rPr>
      <w:rFonts w:ascii="Arial" w:hAnsi="Arial" w:eastAsia="MS Mincho"/>
      <w:b/>
      <w:sz w:val="18"/>
      <w:lang w:val="en-US" w:eastAsia="en-US" w:bidi="ar-SA"/>
    </w:rPr>
  </w:style>
  <w:style w:type="character" w:customStyle="1" w:styleId="72">
    <w:name w:val="CR Cover Page Zchn"/>
    <w:link w:val="27"/>
    <w:qFormat/>
    <w:locked/>
    <w:uiPriority w:val="0"/>
    <w:rPr>
      <w:rFonts w:ascii="Arial" w:hAnsi="Arial" w:eastAsia="MS Mincho"/>
      <w:lang w:val="en-GB" w:eastAsia="en-US" w:bidi="ar-SA"/>
    </w:rPr>
  </w:style>
  <w:style w:type="paragraph" w:customStyle="1" w:styleId="73">
    <w:name w:val="main text"/>
    <w:basedOn w:val="1"/>
    <w:link w:val="74"/>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4">
    <w:name w:val="main text Char"/>
    <w:link w:val="73"/>
    <w:qFormat/>
    <w:uiPriority w:val="0"/>
    <w:rPr>
      <w:rFonts w:ascii="Calibri" w:hAnsi="Calibri" w:eastAsia="Malgun Gothic" w:cs="Batang"/>
      <w:lang w:val="en-GB" w:eastAsia="ko-KR"/>
    </w:rPr>
  </w:style>
  <w:style w:type="character" w:customStyle="1" w:styleId="75">
    <w:name w:val="列出段落 Char"/>
    <w:link w:val="61"/>
    <w:qFormat/>
    <w:uiPriority w:val="99"/>
    <w:rPr>
      <w:rFonts w:ascii="宋体" w:hAnsi="宋体" w:eastAsia="宋体" w:cs="宋体"/>
      <w:sz w:val="24"/>
      <w:szCs w:val="24"/>
    </w:rPr>
  </w:style>
  <w:style w:type="character" w:customStyle="1" w:styleId="76">
    <w:name w:val="标题 1 Char"/>
    <w:basedOn w:val="23"/>
    <w:link w:val="2"/>
    <w:qFormat/>
    <w:uiPriority w:val="0"/>
    <w:rPr>
      <w:rFonts w:ascii="Arial" w:hAnsi="Arial" w:eastAsia="MS Mincho"/>
      <w:sz w:val="36"/>
      <w:lang w:val="en-GB" w:eastAsia="en-US"/>
    </w:rPr>
  </w:style>
  <w:style w:type="character" w:customStyle="1" w:styleId="77">
    <w:name w:val="标题 2 Char"/>
    <w:basedOn w:val="23"/>
    <w:link w:val="3"/>
    <w:qFormat/>
    <w:uiPriority w:val="0"/>
    <w:rPr>
      <w:rFonts w:ascii="Arial" w:hAnsi="Arial" w:eastAsia="MS Mincho" w:cs="Arial"/>
      <w:bCs/>
      <w:iCs/>
      <w:sz w:val="32"/>
      <w:szCs w:val="28"/>
      <w:lang w:val="en-GB" w:eastAsia="en-US"/>
    </w:rPr>
  </w:style>
  <w:style w:type="character" w:customStyle="1" w:styleId="78">
    <w:name w:val="纯文本 Char"/>
    <w:basedOn w:val="23"/>
    <w:link w:val="13"/>
    <w:qFormat/>
    <w:uiPriority w:val="99"/>
    <w:rPr>
      <w:rFonts w:ascii="Calibri" w:hAnsi="Calibri" w:eastAsia="Calibri"/>
      <w:sz w:val="22"/>
      <w:szCs w:val="21"/>
      <w:lang w:val="en-GB" w:eastAsia="en-US"/>
    </w:rPr>
  </w:style>
  <w:style w:type="paragraph" w:customStyle="1" w:styleId="79">
    <w:name w:val="proposal text"/>
    <w:basedOn w:val="1"/>
    <w:qFormat/>
    <w:uiPriority w:val="0"/>
    <w:pPr>
      <w:spacing w:before="100" w:beforeAutospacing="1" w:after="180" w:line="256" w:lineRule="auto"/>
    </w:pPr>
    <w:rPr>
      <w:rFonts w:ascii="Times New Roman" w:hAnsi="Times New Roman" w:eastAsia="宋体"/>
      <w:sz w:val="24"/>
      <w:szCs w:val="24"/>
      <w:lang w:val="en-US" w:eastAsia="zh-CN"/>
    </w:rPr>
  </w:style>
  <w:style w:type="paragraph" w:customStyle="1" w:styleId="80">
    <w:name w:val="列出段落2"/>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81">
    <w:name w:val="列出段落5"/>
    <w:basedOn w:val="1"/>
    <w:qFormat/>
    <w:uiPriority w:val="0"/>
    <w:pPr>
      <w:spacing w:before="100" w:beforeAutospacing="1" w:after="180"/>
      <w:ind w:left="720"/>
      <w:contextualSpacing/>
    </w:pPr>
    <w:rPr>
      <w:rFonts w:ascii="Times New Roman" w:hAnsi="Times New Roman" w:eastAsia="宋体"/>
      <w:sz w:val="24"/>
      <w:szCs w:val="24"/>
      <w:lang w:val="en-US" w:eastAsia="zh-CN"/>
    </w:rPr>
  </w:style>
  <w:style w:type="paragraph" w:customStyle="1" w:styleId="82">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83">
    <w:name w:val="List Paragraph2"/>
    <w:basedOn w:val="1"/>
    <w:qFormat/>
    <w:uiPriority w:val="0"/>
    <w:pPr>
      <w:spacing w:after="180"/>
      <w:ind w:left="720"/>
      <w:contextualSpacing/>
    </w:pPr>
    <w:rPr>
      <w:rFonts w:ascii="Times New Roman" w:hAnsi="Times New Roman" w:eastAsia="宋体"/>
      <w:sz w:val="24"/>
      <w:szCs w:val="24"/>
    </w:rPr>
  </w:style>
  <w:style w:type="paragraph" w:customStyle="1" w:styleId="84">
    <w:name w:val="正文1"/>
    <w:qFormat/>
    <w:uiPriority w:val="0"/>
    <w:pPr>
      <w:jc w:val="both"/>
    </w:pPr>
    <w:rPr>
      <w:rFonts w:ascii="Calibri" w:hAnsi="Calibri" w:eastAsia="宋体" w:cs="Calibri"/>
      <w:kern w:val="2"/>
      <w:sz w:val="21"/>
      <w:szCs w:val="21"/>
      <w:lang w:val="en-US" w:eastAsia="zh-CN" w:bidi="ar-SA"/>
    </w:rPr>
  </w:style>
  <w:style w:type="paragraph" w:customStyle="1" w:styleId="85">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11</Pages>
  <Words>4000</Words>
  <Characters>22806</Characters>
  <Lines>190</Lines>
  <Paragraphs>53</Paragraphs>
  <TotalTime>3</TotalTime>
  <ScaleCrop>false</ScaleCrop>
  <LinksUpToDate>false</LinksUpToDate>
  <CharactersWithSpaces>26753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2023-05-11T03:34:00Z</dcterms:created>
  <dc:creator>CMCC</dc:creator>
  <cp:lastModifiedBy>CMCC</cp:lastModifiedBy>
  <dcterms:modified xsi:type="dcterms:W3CDTF">2023-08-11T06:13:33Z</dcterms:modified>
  <dc:title>3GPP TSG-RAN WG3 Meeting #96bis NR Adhoc</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C19FBB9740EF479699492B5D1DE2E717</vt:lpwstr>
  </property>
</Properties>
</file>